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29ECC0">
      <w:pPr>
        <w:adjustRightInd w:val="0"/>
        <w:snapToGrid w:val="0"/>
        <w:spacing w:line="300" w:lineRule="auto"/>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园艺学院推荐优秀应届本科毕业生免试攻</w:t>
      </w:r>
      <w:bookmarkStart w:id="0" w:name="_GoBack"/>
      <w:bookmarkEnd w:id="0"/>
      <w:r>
        <w:rPr>
          <w:rFonts w:hint="eastAsia" w:ascii="方正小标宋简体" w:hAnsi="方正小标宋简体" w:eastAsia="方正小标宋简体" w:cs="方正小标宋简体"/>
          <w:b/>
          <w:bCs/>
          <w:sz w:val="36"/>
          <w:szCs w:val="36"/>
        </w:rPr>
        <w:t>读研究生</w:t>
      </w:r>
    </w:p>
    <w:p w14:paraId="214285EE">
      <w:pPr>
        <w:adjustRightInd w:val="0"/>
        <w:snapToGrid w:val="0"/>
        <w:spacing w:line="300" w:lineRule="auto"/>
        <w:jc w:val="center"/>
        <w:rPr>
          <w:rFonts w:ascii="方正小标宋简体" w:hAnsi="方正小标宋简体" w:eastAsia="方正小标宋简体" w:cs="方正小标宋简体"/>
          <w:b/>
          <w:bCs/>
          <w:sz w:val="28"/>
          <w:szCs w:val="28"/>
        </w:rPr>
      </w:pPr>
      <w:r>
        <w:rPr>
          <w:rFonts w:hint="eastAsia" w:ascii="方正小标宋简体" w:hAnsi="方正小标宋简体" w:eastAsia="方正小标宋简体" w:cs="方正小标宋简体"/>
          <w:b/>
          <w:bCs/>
          <w:sz w:val="36"/>
          <w:szCs w:val="36"/>
        </w:rPr>
        <w:t>工作细则（</w:t>
      </w:r>
      <w:r>
        <w:rPr>
          <w:rFonts w:hint="eastAsia" w:ascii="宋体" w:hAnsi="宋体" w:cs="宋体"/>
          <w:b/>
          <w:bCs/>
          <w:sz w:val="36"/>
          <w:szCs w:val="36"/>
        </w:rPr>
        <w:t>试行</w:t>
      </w:r>
      <w:r>
        <w:rPr>
          <w:rFonts w:hint="eastAsia" w:ascii="方正小标宋简体" w:hAnsi="方正小标宋简体" w:eastAsia="方正小标宋简体" w:cs="方正小标宋简体"/>
          <w:b/>
          <w:bCs/>
          <w:sz w:val="36"/>
          <w:szCs w:val="36"/>
        </w:rPr>
        <w:t>）</w:t>
      </w:r>
    </w:p>
    <w:p w14:paraId="6104C43E">
      <w:pPr>
        <w:adjustRightInd w:val="0"/>
        <w:snapToGrid w:val="0"/>
        <w:spacing w:line="360" w:lineRule="auto"/>
        <w:ind w:firstLine="560" w:firstLineChars="200"/>
        <w:rPr>
          <w:rFonts w:hint="eastAsia" w:ascii="仿宋" w:hAnsi="仿宋" w:eastAsia="仿宋" w:cs="仿宋_GB2312"/>
          <w:color w:val="auto"/>
          <w:sz w:val="28"/>
          <w:szCs w:val="28"/>
          <w:u w:val="none"/>
          <w:lang w:eastAsia="zh-CN"/>
        </w:rPr>
      </w:pPr>
      <w:r>
        <w:rPr>
          <w:rFonts w:hint="eastAsia" w:ascii="仿宋" w:hAnsi="仿宋" w:eastAsia="仿宋" w:cs="仿宋_GB2312"/>
          <w:sz w:val="28"/>
          <w:szCs w:val="28"/>
        </w:rPr>
        <w:t>根据现行《华南农业大学推荐优秀应届本科毕业生免试攻读研究生实施办法</w:t>
      </w:r>
      <w:r>
        <w:rPr>
          <w:rFonts w:hint="eastAsia" w:ascii="仿宋" w:hAnsi="仿宋" w:eastAsia="仿宋" w:cs="仿宋_GB2312"/>
          <w:color w:val="auto"/>
          <w:sz w:val="28"/>
          <w:szCs w:val="28"/>
          <w:u w:val="none"/>
          <w:lang w:eastAsia="zh-CN"/>
        </w:rPr>
        <w:t>（2025年修订）》的要求，为进一步规范和加强我校推荐优秀应届本科毕业生免试攻读研究生工作（以下简称“推免”），进一步落实立德树人根本任务，加大拔尖创新人才选拔培养力度，根据《全国普通高等学校推荐优秀应届本科毕业生免试攻读硕士学位研究生工作管理办法（试行）》（教学〔2006〕14号）、《教育部办公厅关于进一步规范和加强推荐优秀应届本科毕业生免试攻读研究生工作的通知》（教学厅〔2020〕12号）、《关于促进新时代退役军人就业创业工作的意见》（退役军人部发〔2018〕26号）和《华南农业大学章程》等精神，提高推免生选拔质量，确保推免招生公平公正，结合学校实际，制定本办法。</w:t>
      </w:r>
    </w:p>
    <w:p w14:paraId="470F5A6B">
      <w:pPr>
        <w:adjustRightInd w:val="0"/>
        <w:snapToGrid w:val="0"/>
        <w:spacing w:line="360" w:lineRule="auto"/>
        <w:ind w:firstLine="562" w:firstLineChars="200"/>
        <w:rPr>
          <w:rFonts w:ascii="仿宋" w:hAnsi="仿宋" w:eastAsia="仿宋" w:cs="黑体"/>
          <w:b/>
          <w:bCs/>
          <w:sz w:val="28"/>
          <w:szCs w:val="28"/>
        </w:rPr>
      </w:pPr>
      <w:r>
        <w:rPr>
          <w:rFonts w:hint="eastAsia" w:ascii="仿宋" w:hAnsi="仿宋" w:eastAsia="仿宋" w:cs="黑体"/>
          <w:b/>
          <w:bCs/>
          <w:sz w:val="28"/>
          <w:szCs w:val="28"/>
        </w:rPr>
        <w:t>一、组织实施</w:t>
      </w:r>
    </w:p>
    <w:p w14:paraId="04AAF81C">
      <w:pPr>
        <w:widowControl/>
        <w:adjustRightInd w:val="0"/>
        <w:snapToGrid w:val="0"/>
        <w:spacing w:line="360" w:lineRule="auto"/>
        <w:ind w:firstLine="560" w:firstLineChars="200"/>
        <w:jc w:val="left"/>
        <w:textAlignment w:val="auto"/>
        <w:rPr>
          <w:ins w:id="0" w:author="无忧" w:date="2025-07-09T14:03:11Z"/>
          <w:rFonts w:hint="eastAsia" w:ascii="仿宋" w:hAnsi="仿宋" w:eastAsia="仿宋" w:cs="仿宋_GB2312"/>
          <w:color w:val="auto"/>
          <w:kern w:val="2"/>
          <w:sz w:val="28"/>
          <w:szCs w:val="28"/>
          <w:lang w:bidi="ar"/>
        </w:rPr>
      </w:pPr>
      <w:r>
        <w:rPr>
          <w:rFonts w:hint="eastAsia" w:ascii="仿宋" w:hAnsi="仿宋" w:eastAsia="仿宋" w:cs="仿宋_GB2312"/>
          <w:color w:val="auto"/>
          <w:kern w:val="2"/>
          <w:sz w:val="28"/>
          <w:szCs w:val="28"/>
          <w:lang w:bidi="ar"/>
        </w:rPr>
        <w:t>各学院成立学院推免生遴选工作小组及专家审核小组，负责组织实施本学院推免工作。学院推免生遴选工作小组应由学院党委书记、院长、党委副书记、分管本科教学工作副院长、教务员及辅导员等组成，负责制定本学院《推荐优秀应届本科毕业生免试攻读研究生工作细则》（以下简称《推免细则》），按要求落实本学院推免生的报名、审核、推荐、公示等工作。学院专家审核小组应由具有相关学科副教授及以上职称的教师组成，成员不少于5人，负责对学生科研创新成果、论文、竞赛获奖奖项及内容等方面进行审核鉴定。</w:t>
      </w:r>
    </w:p>
    <w:p w14:paraId="6187A90D">
      <w:pPr>
        <w:numPr>
          <w:ilvl w:val="0"/>
          <w:numId w:val="1"/>
        </w:numPr>
        <w:adjustRightInd w:val="0"/>
        <w:snapToGrid w:val="0"/>
        <w:spacing w:line="360" w:lineRule="auto"/>
        <w:ind w:firstLine="562" w:firstLineChars="200"/>
        <w:rPr>
          <w:rFonts w:hint="eastAsia" w:ascii="仿宋" w:hAnsi="仿宋" w:eastAsia="仿宋" w:cs="仿宋_GB2312"/>
          <w:b/>
          <w:bCs/>
          <w:sz w:val="28"/>
          <w:szCs w:val="28"/>
          <w:highlight w:val="none"/>
          <w:lang w:val="en-US" w:eastAsia="zh-CN"/>
        </w:rPr>
      </w:pPr>
      <w:r>
        <w:rPr>
          <w:rFonts w:hint="eastAsia" w:ascii="仿宋" w:hAnsi="仿宋" w:eastAsia="仿宋" w:cs="仿宋_GB2312"/>
          <w:b/>
          <w:bCs/>
          <w:sz w:val="28"/>
          <w:szCs w:val="28"/>
          <w:highlight w:val="none"/>
          <w:lang w:val="en-US" w:eastAsia="zh-CN"/>
        </w:rPr>
        <w:t>指标分配</w:t>
      </w:r>
    </w:p>
    <w:p w14:paraId="5F694E64">
      <w:pPr>
        <w:numPr>
          <w:ilvl w:val="0"/>
          <w:numId w:val="0"/>
        </w:numPr>
        <w:adjustRightInd w:val="0"/>
        <w:snapToGrid w:val="0"/>
        <w:spacing w:line="360" w:lineRule="auto"/>
        <w:ind w:firstLine="560" w:firstLineChars="200"/>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1.教育部每年下达推免生指标后，由学校推免生遴选工作领导小组集体研究，主动对接国家发展战略，综合考虑学科及专业水平、“双一流”建设、特色教学班、学生升学深造率、上一年推免工作完成情况、应届毕业生人数等因素分配推免生指标。</w:t>
      </w:r>
    </w:p>
    <w:p w14:paraId="7B082597">
      <w:pPr>
        <w:numPr>
          <w:ilvl w:val="0"/>
          <w:numId w:val="0"/>
        </w:numPr>
        <w:adjustRightInd w:val="0"/>
        <w:snapToGrid w:val="0"/>
        <w:spacing w:line="360" w:lineRule="auto"/>
        <w:ind w:firstLine="560" w:firstLineChars="200"/>
        <w:rPr>
          <w:ins w:id="1" w:author="无忧" w:date="2025-07-09T14:01:55Z"/>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2.学院推免生遴选工作小组根据学校下达的推免生指标数量制定本学院推免生指标具体分配办法。</w:t>
      </w:r>
    </w:p>
    <w:p w14:paraId="414BC636">
      <w:pPr>
        <w:numPr>
          <w:ilvl w:val="0"/>
          <w:numId w:val="0"/>
        </w:numPr>
        <w:adjustRightInd w:val="0"/>
        <w:snapToGrid w:val="0"/>
        <w:spacing w:line="360" w:lineRule="auto"/>
        <w:ind w:firstLine="560" w:firstLineChars="200"/>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3.在部队荣立二等功以上退役本科生在读华南农业大学期间全部课程考核合格且符合研究生报名条件，经学校推免生遴选工作领导小组审批通过后可直接获得推免生资格，指标由学校统筹。</w:t>
      </w:r>
    </w:p>
    <w:p w14:paraId="040D3C19">
      <w:pPr>
        <w:numPr>
          <w:ilvl w:val="0"/>
          <w:numId w:val="0"/>
        </w:numPr>
        <w:adjustRightInd w:val="0"/>
        <w:snapToGrid w:val="0"/>
        <w:spacing w:line="360" w:lineRule="auto"/>
        <w:ind w:firstLine="560" w:firstLineChars="200"/>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4.中国青年志愿者研究生支教团（以下简称“研究生支教团”），即获得推免生资格后保留入学资格一年，先赴西部地区服务一年后入读研究生，由党委学生工作部（党委研究生工作部）负责制定推免工作细则，报学校推免生遴选工作领导小组审批通过后，由党委学生工作部（党委研究生工作部）具体实施，指标根据上级下达指标情况确定。</w:t>
      </w:r>
    </w:p>
    <w:p w14:paraId="6FCA5486">
      <w:pPr>
        <w:adjustRightInd w:val="0"/>
        <w:snapToGrid w:val="0"/>
        <w:spacing w:line="360" w:lineRule="auto"/>
        <w:ind w:firstLine="562" w:firstLineChars="200"/>
        <w:rPr>
          <w:rFonts w:ascii="仿宋" w:hAnsi="仿宋" w:eastAsia="仿宋" w:cs="黑体"/>
          <w:b/>
          <w:bCs/>
          <w:sz w:val="28"/>
          <w:szCs w:val="28"/>
        </w:rPr>
      </w:pPr>
      <w:r>
        <w:rPr>
          <w:rFonts w:hint="eastAsia" w:ascii="仿宋" w:hAnsi="仿宋" w:eastAsia="仿宋" w:cs="黑体"/>
          <w:b/>
          <w:bCs/>
          <w:sz w:val="28"/>
          <w:szCs w:val="28"/>
          <w:lang w:val="en-US" w:eastAsia="zh-CN"/>
        </w:rPr>
        <w:t>三</w:t>
      </w:r>
      <w:r>
        <w:rPr>
          <w:rFonts w:hint="eastAsia" w:ascii="仿宋" w:hAnsi="仿宋" w:eastAsia="仿宋" w:cs="黑体"/>
          <w:b/>
          <w:bCs/>
          <w:sz w:val="28"/>
          <w:szCs w:val="28"/>
        </w:rPr>
        <w:t>、推荐要求</w:t>
      </w:r>
    </w:p>
    <w:p w14:paraId="2D3E6072">
      <w:pPr>
        <w:widowControl/>
        <w:adjustRightInd w:val="0"/>
        <w:snapToGrid w:val="0"/>
        <w:spacing w:line="360" w:lineRule="auto"/>
        <w:ind w:firstLine="560" w:firstLineChars="200"/>
        <w:rPr>
          <w:rFonts w:ascii="仿宋" w:hAnsi="仿宋" w:eastAsia="仿宋" w:cs="仿宋_GB2312"/>
          <w:kern w:val="0"/>
          <w:sz w:val="28"/>
          <w:szCs w:val="28"/>
        </w:rPr>
      </w:pPr>
      <w:r>
        <w:rPr>
          <w:rFonts w:hint="eastAsia" w:ascii="仿宋" w:hAnsi="仿宋" w:eastAsia="仿宋" w:cs="仿宋_GB2312"/>
          <w:color w:val="000000"/>
          <w:kern w:val="0"/>
          <w:sz w:val="28"/>
          <w:szCs w:val="28"/>
        </w:rPr>
        <w:t>根据现行</w:t>
      </w:r>
      <w:r>
        <w:rPr>
          <w:rFonts w:hint="eastAsia" w:ascii="仿宋" w:hAnsi="仿宋" w:eastAsia="仿宋" w:cs="仿宋_GB2312"/>
          <w:kern w:val="0"/>
          <w:sz w:val="28"/>
          <w:szCs w:val="28"/>
        </w:rPr>
        <w:t>《华南农业大学推荐优秀应届本科毕业生免试攻读研究生实施办法》要求，结合学院实际情况制定。</w:t>
      </w:r>
    </w:p>
    <w:p w14:paraId="5265429E">
      <w:pPr>
        <w:widowControl/>
        <w:adjustRightInd w:val="0"/>
        <w:snapToGrid w:val="0"/>
        <w:spacing w:line="360" w:lineRule="auto"/>
        <w:ind w:firstLine="562" w:firstLineChars="200"/>
        <w:rPr>
          <w:rFonts w:ascii="仿宋" w:hAnsi="仿宋" w:eastAsia="仿宋" w:cs="仿宋_GB2312"/>
          <w:b/>
          <w:bCs/>
          <w:kern w:val="0"/>
          <w:sz w:val="28"/>
          <w:szCs w:val="28"/>
        </w:rPr>
      </w:pPr>
      <w:r>
        <w:rPr>
          <w:rFonts w:hint="eastAsia" w:ascii="仿宋" w:hAnsi="仿宋" w:eastAsia="仿宋" w:cs="仿宋_GB2312"/>
          <w:b/>
          <w:bCs/>
          <w:kern w:val="0"/>
          <w:sz w:val="28"/>
          <w:szCs w:val="28"/>
        </w:rPr>
        <w:t>（一）推免生应具备以下基本条件:</w:t>
      </w:r>
    </w:p>
    <w:p w14:paraId="58C41C0D">
      <w:pPr>
        <w:widowControl/>
        <w:adjustRightInd w:val="0"/>
        <w:snapToGrid w:val="0"/>
        <w:spacing w:line="360" w:lineRule="auto"/>
        <w:ind w:firstLine="560" w:firstLineChars="200"/>
        <w:rPr>
          <w:rFonts w:hint="eastAsia" w:ascii="仿宋" w:hAnsi="仿宋" w:eastAsia="仿宋" w:cs="仿宋_GB2312"/>
          <w:kern w:val="0"/>
          <w:sz w:val="28"/>
          <w:szCs w:val="28"/>
          <w:lang w:val="en-US" w:eastAsia="zh-CN"/>
        </w:rPr>
      </w:pPr>
      <w:r>
        <w:rPr>
          <w:rFonts w:hint="eastAsia" w:ascii="仿宋" w:hAnsi="仿宋" w:eastAsia="仿宋" w:cs="仿宋_GB2312"/>
          <w:kern w:val="0"/>
          <w:sz w:val="28"/>
          <w:szCs w:val="28"/>
          <w:lang w:val="en-US" w:eastAsia="zh-CN"/>
        </w:rPr>
        <w:t>1.纳入国家普通本科招生计划录取、未曾计入历年应毕业本科生范围、未曾参与过推免环节的应届毕业生（不含第二学士学位、独立学院学生）。</w:t>
      </w:r>
    </w:p>
    <w:p w14:paraId="143667A3">
      <w:pPr>
        <w:widowControl/>
        <w:adjustRightInd w:val="0"/>
        <w:snapToGrid w:val="0"/>
        <w:spacing w:line="360" w:lineRule="auto"/>
        <w:ind w:firstLine="560" w:firstLineChars="200"/>
        <w:rPr>
          <w:rFonts w:hint="eastAsia" w:ascii="仿宋" w:hAnsi="仿宋" w:eastAsia="仿宋" w:cs="仿宋_GB2312"/>
          <w:kern w:val="0"/>
          <w:sz w:val="28"/>
          <w:szCs w:val="28"/>
          <w:lang w:val="en-US" w:eastAsia="zh-CN"/>
        </w:rPr>
      </w:pPr>
      <w:r>
        <w:rPr>
          <w:rFonts w:hint="eastAsia" w:ascii="仿宋" w:hAnsi="仿宋" w:eastAsia="仿宋" w:cs="仿宋_GB2312"/>
          <w:kern w:val="0"/>
          <w:sz w:val="28"/>
          <w:szCs w:val="28"/>
          <w:lang w:val="en-US" w:eastAsia="zh-CN"/>
        </w:rPr>
        <w:t>2.拥护中国共产党的领导和中国特色社会主义制度，具有高尚的爱国主义情操和集体主义精神，遵纪守法，诚实守信，学风端正，品行优良。</w:t>
      </w:r>
    </w:p>
    <w:p w14:paraId="67FB890D">
      <w:pPr>
        <w:widowControl/>
        <w:adjustRightInd w:val="0"/>
        <w:snapToGrid w:val="0"/>
        <w:spacing w:line="360" w:lineRule="auto"/>
        <w:ind w:firstLine="560" w:firstLineChars="200"/>
        <w:rPr>
          <w:rFonts w:hint="eastAsia" w:ascii="仿宋" w:hAnsi="仿宋" w:eastAsia="仿宋" w:cs="仿宋_GB2312"/>
          <w:kern w:val="0"/>
          <w:sz w:val="28"/>
          <w:szCs w:val="28"/>
          <w:lang w:val="en-US" w:eastAsia="zh-CN"/>
        </w:rPr>
      </w:pPr>
      <w:r>
        <w:rPr>
          <w:rFonts w:hint="eastAsia" w:ascii="仿宋" w:hAnsi="仿宋" w:eastAsia="仿宋" w:cs="仿宋_GB2312"/>
          <w:kern w:val="0"/>
          <w:sz w:val="28"/>
          <w:szCs w:val="28"/>
          <w:lang w:val="en-US" w:eastAsia="zh-CN"/>
        </w:rPr>
        <w:t>3.以德为先，将学生思想品德考核作为推免生遴选的重要内容和录取的重要依据。思想品德考核不合格者不予推荐和录取。无考试作弊或剽窃他人学术成果等行为，无违法违纪受处分记录。</w:t>
      </w:r>
    </w:p>
    <w:p w14:paraId="7FA06ADE">
      <w:pPr>
        <w:widowControl/>
        <w:adjustRightInd w:val="0"/>
        <w:snapToGrid w:val="0"/>
        <w:spacing w:line="360" w:lineRule="auto"/>
        <w:ind w:firstLine="560" w:firstLineChars="200"/>
        <w:rPr>
          <w:rFonts w:hint="eastAsia" w:ascii="仿宋" w:hAnsi="仿宋" w:eastAsia="仿宋" w:cs="仿宋_GB2312"/>
          <w:kern w:val="0"/>
          <w:sz w:val="28"/>
          <w:szCs w:val="28"/>
          <w:lang w:val="en-US" w:eastAsia="zh-CN"/>
        </w:rPr>
      </w:pPr>
      <w:r>
        <w:rPr>
          <w:rFonts w:hint="eastAsia" w:ascii="仿宋" w:hAnsi="仿宋" w:eastAsia="仿宋" w:cs="仿宋_GB2312"/>
          <w:kern w:val="0"/>
          <w:sz w:val="28"/>
          <w:szCs w:val="28"/>
          <w:lang w:val="en-US" w:eastAsia="zh-CN"/>
        </w:rPr>
        <w:t>4.勤奋学习，刻苦钻研，成绩优秀；具备较好的外语水平；学术研究兴趣浓厚，具有较强的创新意识、创新能力和专业能力；身心健康，积极参加体育锻炼，</w:t>
      </w:r>
    </w:p>
    <w:p w14:paraId="2323B960">
      <w:pPr>
        <w:widowControl/>
        <w:adjustRightInd w:val="0"/>
        <w:snapToGrid w:val="0"/>
        <w:spacing w:line="360" w:lineRule="auto"/>
        <w:ind w:firstLine="560" w:firstLineChars="200"/>
        <w:rPr>
          <w:rFonts w:hint="eastAsia" w:ascii="仿宋" w:hAnsi="仿宋" w:eastAsia="仿宋" w:cs="仿宋_GB2312"/>
          <w:kern w:val="0"/>
          <w:sz w:val="28"/>
          <w:szCs w:val="28"/>
          <w:lang w:val="en-US" w:eastAsia="zh-CN"/>
        </w:rPr>
      </w:pPr>
      <w:r>
        <w:rPr>
          <w:rFonts w:hint="eastAsia" w:ascii="仿宋" w:hAnsi="仿宋" w:eastAsia="仿宋" w:cs="仿宋_GB2312"/>
          <w:kern w:val="0"/>
          <w:sz w:val="28"/>
          <w:szCs w:val="28"/>
          <w:lang w:val="en-US" w:eastAsia="zh-CN"/>
        </w:rPr>
        <w:t>（二）推免生申请时须同时符合以下学业要求：</w:t>
      </w:r>
    </w:p>
    <w:p w14:paraId="016D9448">
      <w:pPr>
        <w:widowControl/>
        <w:adjustRightInd w:val="0"/>
        <w:snapToGrid w:val="0"/>
        <w:spacing w:line="360" w:lineRule="auto"/>
        <w:ind w:firstLine="560" w:firstLineChars="200"/>
        <w:rPr>
          <w:rFonts w:hint="eastAsia" w:ascii="仿宋" w:hAnsi="仿宋" w:eastAsia="仿宋" w:cs="仿宋_GB2312"/>
          <w:kern w:val="0"/>
          <w:sz w:val="28"/>
          <w:szCs w:val="28"/>
          <w:lang w:val="en-US" w:eastAsia="zh-CN"/>
        </w:rPr>
      </w:pPr>
      <w:r>
        <w:rPr>
          <w:rFonts w:hint="eastAsia" w:ascii="仿宋" w:hAnsi="仿宋" w:eastAsia="仿宋" w:cs="仿宋_GB2312"/>
          <w:kern w:val="0"/>
          <w:sz w:val="28"/>
          <w:szCs w:val="28"/>
          <w:lang w:val="en-US" w:eastAsia="zh-CN"/>
        </w:rPr>
        <w:t>1.前三学年（五年制专业为前四学年）的学业平均学分绩点（GPA）不低于3.20，且学业平均学分绩点（GPA）排名位于同届同专业前50%（含50%）之内。</w:t>
      </w:r>
    </w:p>
    <w:p w14:paraId="4691D209">
      <w:pPr>
        <w:widowControl/>
        <w:adjustRightInd w:val="0"/>
        <w:snapToGrid w:val="0"/>
        <w:spacing w:line="360" w:lineRule="auto"/>
        <w:ind w:firstLine="560" w:firstLineChars="200"/>
        <w:rPr>
          <w:rFonts w:hint="eastAsia" w:ascii="仿宋" w:hAnsi="仿宋" w:eastAsia="仿宋" w:cs="仿宋_GB2312"/>
          <w:kern w:val="0"/>
          <w:sz w:val="28"/>
          <w:szCs w:val="28"/>
          <w:lang w:val="en-US" w:eastAsia="zh-CN"/>
        </w:rPr>
      </w:pPr>
      <w:r>
        <w:rPr>
          <w:rFonts w:hint="eastAsia" w:ascii="仿宋" w:hAnsi="仿宋" w:eastAsia="仿宋" w:cs="仿宋_GB2312"/>
          <w:kern w:val="0"/>
          <w:sz w:val="28"/>
          <w:szCs w:val="28"/>
          <w:lang w:val="en-US" w:eastAsia="zh-CN"/>
        </w:rPr>
        <w:t>2.按照教学计划修完应修课程；无处于缓考状态课程；补考或重修后无不及格成绩。</w:t>
      </w:r>
    </w:p>
    <w:p w14:paraId="07DF541B">
      <w:pPr>
        <w:widowControl/>
        <w:adjustRightInd w:val="0"/>
        <w:snapToGrid w:val="0"/>
        <w:spacing w:line="360" w:lineRule="auto"/>
        <w:ind w:firstLine="560" w:firstLineChars="200"/>
        <w:rPr>
          <w:rFonts w:hint="eastAsia" w:ascii="仿宋" w:hAnsi="仿宋" w:eastAsia="仿宋" w:cs="仿宋_GB2312"/>
          <w:color w:val="auto"/>
          <w:sz w:val="28"/>
          <w:szCs w:val="28"/>
        </w:rPr>
      </w:pPr>
      <w:r>
        <w:rPr>
          <w:rFonts w:hint="eastAsia" w:ascii="仿宋" w:hAnsi="仿宋" w:eastAsia="仿宋" w:cs="仿宋_GB2312"/>
          <w:kern w:val="0"/>
          <w:sz w:val="28"/>
          <w:szCs w:val="28"/>
          <w:lang w:val="en-US" w:eastAsia="zh-CN"/>
        </w:rPr>
        <w:t>3.全国大学英语四级考试成绩不低于425分，或雅思考试成绩不低于5.5分，或托福考试成绩不低于80分；英语类专业学生须通过英语专业四级考试，日语类专业学生须通过日语专业四级考试。</w:t>
      </w:r>
    </w:p>
    <w:p w14:paraId="43EC7DBC">
      <w:pPr>
        <w:adjustRightInd w:val="0"/>
        <w:snapToGrid w:val="0"/>
        <w:spacing w:line="360" w:lineRule="auto"/>
        <w:ind w:firstLine="562" w:firstLineChars="200"/>
        <w:rPr>
          <w:rFonts w:ascii="仿宋" w:hAnsi="仿宋" w:eastAsia="仿宋" w:cs="黑体"/>
          <w:b/>
          <w:bCs/>
          <w:sz w:val="28"/>
          <w:szCs w:val="28"/>
        </w:rPr>
      </w:pPr>
      <w:r>
        <w:rPr>
          <w:rFonts w:hint="eastAsia" w:ascii="仿宋" w:hAnsi="仿宋" w:eastAsia="仿宋" w:cs="黑体"/>
          <w:b/>
          <w:bCs/>
          <w:sz w:val="28"/>
          <w:szCs w:val="28"/>
          <w:lang w:val="en-US" w:eastAsia="zh-CN"/>
        </w:rPr>
        <w:t>四</w:t>
      </w:r>
      <w:r>
        <w:rPr>
          <w:rFonts w:hint="eastAsia" w:ascii="仿宋" w:hAnsi="仿宋" w:eastAsia="仿宋" w:cs="黑体"/>
          <w:b/>
          <w:bCs/>
          <w:sz w:val="28"/>
          <w:szCs w:val="28"/>
        </w:rPr>
        <w:t>、遴选推荐办法</w:t>
      </w:r>
    </w:p>
    <w:p w14:paraId="3D0BAA61">
      <w:pPr>
        <w:widowControl/>
        <w:adjustRightInd w:val="0"/>
        <w:snapToGrid w:val="0"/>
        <w:spacing w:line="360" w:lineRule="auto"/>
        <w:ind w:firstLine="560" w:firstLineChars="200"/>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推免生的遴选采用综合评价指标体系进行排名。坚持德智体美劳全面衡量，引导学生全面发展。学院推免生遴选工作小组对满足本学院推荐条件的申请学生进行综合评价。综合评价包括对思想品德的定性评价以及对学业成绩、创新能力和发展素养的定量评价。综合评价成绩满分100分，其中，学业平均学分绩点(GPA) 折算分总分为85分，创新能力评价总分为10分，发展素养评价分总分为5分。单项累计总分不得超过该项最高分，分值按四舍五入保留至小数点后两位。具体要求如下:</w:t>
      </w:r>
    </w:p>
    <w:p w14:paraId="03E540A4">
      <w:pPr>
        <w:widowControl/>
        <w:adjustRightInd w:val="0"/>
        <w:snapToGrid w:val="0"/>
        <w:spacing w:line="360" w:lineRule="auto"/>
        <w:ind w:firstLine="562" w:firstLineChars="200"/>
        <w:rPr>
          <w:rFonts w:ascii="仿宋" w:hAnsi="仿宋" w:eastAsia="仿宋" w:cs="仿宋_GB2312"/>
          <w:b/>
          <w:bCs/>
          <w:color w:val="000000"/>
          <w:kern w:val="0"/>
          <w:sz w:val="28"/>
          <w:szCs w:val="28"/>
        </w:rPr>
      </w:pPr>
      <w:r>
        <w:rPr>
          <w:rFonts w:hint="eastAsia" w:ascii="仿宋" w:hAnsi="仿宋" w:eastAsia="仿宋" w:cs="仿宋_GB2312"/>
          <w:b/>
          <w:bCs/>
          <w:color w:val="000000"/>
          <w:kern w:val="0"/>
          <w:sz w:val="28"/>
          <w:szCs w:val="28"/>
        </w:rPr>
        <w:t>（一）思想品德评价</w:t>
      </w:r>
      <w:r>
        <w:rPr>
          <w:rFonts w:ascii="仿宋" w:hAnsi="仿宋" w:eastAsia="仿宋" w:cs="仿宋_GB2312"/>
          <w:b/>
          <w:bCs/>
          <w:color w:val="000000"/>
          <w:kern w:val="0"/>
          <w:sz w:val="28"/>
          <w:szCs w:val="28"/>
        </w:rPr>
        <w:t xml:space="preserve"> (</w:t>
      </w:r>
      <w:r>
        <w:rPr>
          <w:rFonts w:hint="eastAsia" w:ascii="仿宋" w:hAnsi="仿宋" w:eastAsia="仿宋" w:cs="仿宋_GB2312"/>
          <w:b/>
          <w:bCs/>
          <w:color w:val="000000"/>
          <w:kern w:val="0"/>
          <w:sz w:val="28"/>
          <w:szCs w:val="28"/>
        </w:rPr>
        <w:t>定性</w:t>
      </w:r>
      <w:r>
        <w:rPr>
          <w:rFonts w:ascii="仿宋" w:hAnsi="仿宋" w:eastAsia="仿宋" w:cs="仿宋_GB2312"/>
          <w:b/>
          <w:bCs/>
          <w:color w:val="000000"/>
          <w:kern w:val="0"/>
          <w:sz w:val="28"/>
          <w:szCs w:val="28"/>
        </w:rPr>
        <w:t>)</w:t>
      </w:r>
    </w:p>
    <w:p w14:paraId="1404E473">
      <w:pPr>
        <w:widowControl/>
        <w:adjustRightInd w:val="0"/>
        <w:snapToGrid w:val="0"/>
        <w:spacing w:line="360" w:lineRule="auto"/>
        <w:ind w:firstLine="560" w:firstLineChars="200"/>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坚持德智体美劳全面衡量，以德为先，把学生思想品德考核作为推免生遴选和推荐的重要依据，思想品德考核不合格者不予推荐。</w:t>
      </w:r>
    </w:p>
    <w:p w14:paraId="07F0B07B">
      <w:pPr>
        <w:widowControl/>
        <w:ind w:firstLine="562" w:firstLineChars="200"/>
        <w:jc w:val="left"/>
        <w:rPr>
          <w:rFonts w:ascii="仿宋" w:hAnsi="仿宋" w:eastAsia="仿宋" w:cs="仿宋_GB2312"/>
          <w:b/>
          <w:bCs/>
          <w:color w:val="000000"/>
          <w:kern w:val="0"/>
          <w:sz w:val="28"/>
          <w:szCs w:val="28"/>
        </w:rPr>
      </w:pPr>
      <w:r>
        <w:rPr>
          <w:rFonts w:hint="eastAsia" w:ascii="仿宋" w:hAnsi="仿宋" w:eastAsia="仿宋" w:cs="仿宋_GB2312"/>
          <w:b/>
          <w:bCs/>
          <w:color w:val="000000"/>
          <w:kern w:val="0"/>
          <w:sz w:val="28"/>
          <w:szCs w:val="28"/>
        </w:rPr>
        <w:t>（二）学业成绩评价（</w:t>
      </w:r>
      <w:r>
        <w:rPr>
          <w:rFonts w:ascii="仿宋" w:hAnsi="仿宋" w:eastAsia="仿宋" w:cs="仿宋_GB2312"/>
          <w:b/>
          <w:bCs/>
          <w:color w:val="000000"/>
          <w:kern w:val="0"/>
          <w:sz w:val="28"/>
          <w:szCs w:val="28"/>
        </w:rPr>
        <w:t>85</w:t>
      </w:r>
      <w:r>
        <w:rPr>
          <w:rFonts w:hint="eastAsia" w:ascii="仿宋" w:hAnsi="仿宋" w:eastAsia="仿宋" w:cs="仿宋_GB2312"/>
          <w:b/>
          <w:bCs/>
          <w:color w:val="000000"/>
          <w:kern w:val="0"/>
          <w:sz w:val="28"/>
          <w:szCs w:val="28"/>
        </w:rPr>
        <w:t>分）</w:t>
      </w:r>
    </w:p>
    <w:p w14:paraId="5904E024">
      <w:pPr>
        <w:widowControl/>
        <w:adjustRightInd w:val="0"/>
        <w:snapToGrid w:val="0"/>
        <w:spacing w:line="360" w:lineRule="auto"/>
        <w:ind w:firstLine="560" w:firstLineChars="200"/>
        <w:rPr>
          <w:rFonts w:hint="eastAsia" w:ascii="仿宋" w:hAnsi="仿宋" w:eastAsia="仿宋" w:cs="仿宋_GB2312"/>
          <w:kern w:val="0"/>
          <w:sz w:val="28"/>
          <w:szCs w:val="28"/>
          <w:lang w:val="en-US" w:eastAsia="zh-CN"/>
        </w:rPr>
      </w:pPr>
      <w:r>
        <w:rPr>
          <w:rFonts w:hint="eastAsia" w:ascii="仿宋" w:hAnsi="仿宋" w:eastAsia="仿宋" w:cs="仿宋_GB2312"/>
          <w:kern w:val="0"/>
          <w:sz w:val="28"/>
          <w:szCs w:val="28"/>
        </w:rPr>
        <w:t>学业成绩折算分：学业成绩=</w:t>
      </w:r>
      <w:r>
        <w:rPr>
          <w:rFonts w:hint="eastAsia" w:ascii="仿宋" w:hAnsi="仿宋" w:eastAsia="仿宋" w:cs="仿宋_GB2312"/>
          <w:kern w:val="0"/>
          <w:sz w:val="28"/>
          <w:szCs w:val="28"/>
          <w:lang w:val="en-US" w:eastAsia="zh-CN"/>
        </w:rPr>
        <w:t>个人绩点/专业最高绩点×100×85%</w:t>
      </w:r>
    </w:p>
    <w:p w14:paraId="282B8AD5">
      <w:pPr>
        <w:widowControl/>
        <w:adjustRightInd w:val="0"/>
        <w:snapToGrid w:val="0"/>
        <w:spacing w:line="360" w:lineRule="auto"/>
        <w:ind w:firstLine="560" w:firstLineChars="200"/>
        <w:rPr>
          <w:rFonts w:hint="eastAsia" w:ascii="仿宋" w:hAnsi="仿宋" w:eastAsia="仿宋" w:cs="仿宋_GB2312"/>
          <w:kern w:val="0"/>
          <w:sz w:val="28"/>
          <w:szCs w:val="28"/>
          <w:lang w:val="en-US" w:eastAsia="zh-CN"/>
        </w:rPr>
      </w:pPr>
      <w:r>
        <w:rPr>
          <w:rFonts w:hint="eastAsia" w:ascii="仿宋" w:hAnsi="仿宋" w:eastAsia="仿宋" w:cs="仿宋_GB2312"/>
          <w:kern w:val="0"/>
          <w:sz w:val="28"/>
          <w:szCs w:val="28"/>
        </w:rPr>
        <w:t>其中，专业</w:t>
      </w:r>
      <w:r>
        <w:rPr>
          <w:rFonts w:hint="eastAsia" w:ascii="仿宋" w:hAnsi="仿宋" w:eastAsia="仿宋" w:cs="仿宋_GB2312"/>
          <w:kern w:val="0"/>
          <w:sz w:val="28"/>
          <w:szCs w:val="28"/>
          <w:lang w:val="en-US" w:eastAsia="zh-CN"/>
        </w:rPr>
        <w:t>最高绩点</w:t>
      </w:r>
      <w:r>
        <w:rPr>
          <w:rFonts w:hint="eastAsia" w:ascii="仿宋" w:hAnsi="仿宋" w:eastAsia="仿宋" w:cs="仿宋_GB2312"/>
          <w:kern w:val="0"/>
          <w:sz w:val="28"/>
          <w:szCs w:val="28"/>
        </w:rPr>
        <w:t>按当年园艺丁颖班、园艺、设施、茶学分别单独计算</w:t>
      </w:r>
      <w:r>
        <w:rPr>
          <w:rFonts w:hint="eastAsia" w:ascii="仿宋" w:hAnsi="仿宋" w:eastAsia="仿宋" w:cs="仿宋_GB2312"/>
          <w:kern w:val="0"/>
          <w:sz w:val="28"/>
          <w:szCs w:val="28"/>
          <w:lang w:eastAsia="zh-CN"/>
        </w:rPr>
        <w:t>。</w:t>
      </w:r>
    </w:p>
    <w:p w14:paraId="6B2584A8">
      <w:pPr>
        <w:widowControl/>
        <w:adjustRightInd w:val="0"/>
        <w:snapToGrid w:val="0"/>
        <w:spacing w:line="360" w:lineRule="auto"/>
        <w:ind w:firstLine="562" w:firstLineChars="200"/>
        <w:rPr>
          <w:rFonts w:ascii="仿宋" w:hAnsi="仿宋" w:eastAsia="仿宋" w:cs="仿宋_GB2312"/>
          <w:b/>
          <w:bCs/>
          <w:color w:val="000000"/>
          <w:kern w:val="0"/>
          <w:sz w:val="28"/>
          <w:szCs w:val="28"/>
        </w:rPr>
      </w:pPr>
      <w:r>
        <w:rPr>
          <w:rFonts w:hint="eastAsia" w:ascii="仿宋" w:hAnsi="仿宋" w:eastAsia="仿宋" w:cs="仿宋_GB2312"/>
          <w:b/>
          <w:bCs/>
          <w:color w:val="000000"/>
          <w:kern w:val="0"/>
          <w:sz w:val="28"/>
          <w:szCs w:val="28"/>
        </w:rPr>
        <w:t>（三）创新能力评价（1</w:t>
      </w:r>
      <w:r>
        <w:rPr>
          <w:rFonts w:ascii="仿宋" w:hAnsi="仿宋" w:eastAsia="仿宋" w:cs="仿宋_GB2312"/>
          <w:b/>
          <w:bCs/>
          <w:color w:val="000000"/>
          <w:kern w:val="0"/>
          <w:sz w:val="28"/>
          <w:szCs w:val="28"/>
        </w:rPr>
        <w:t>0</w:t>
      </w:r>
      <w:r>
        <w:rPr>
          <w:rFonts w:hint="eastAsia" w:ascii="仿宋" w:hAnsi="仿宋" w:eastAsia="仿宋" w:cs="仿宋_GB2312"/>
          <w:b/>
          <w:bCs/>
          <w:color w:val="000000"/>
          <w:kern w:val="0"/>
          <w:sz w:val="28"/>
          <w:szCs w:val="28"/>
        </w:rPr>
        <w:t>分）</w:t>
      </w:r>
    </w:p>
    <w:p w14:paraId="16143B4A">
      <w:pPr>
        <w:widowControl/>
        <w:adjustRightInd w:val="0"/>
        <w:snapToGrid w:val="0"/>
        <w:spacing w:line="360" w:lineRule="auto"/>
        <w:ind w:firstLine="560" w:firstLineChars="200"/>
        <w:rPr>
          <w:rFonts w:ascii="仿宋" w:hAnsi="仿宋" w:eastAsia="仿宋" w:cs="仿宋_GB2312"/>
          <w:kern w:val="0"/>
          <w:sz w:val="28"/>
          <w:szCs w:val="28"/>
        </w:rPr>
      </w:pPr>
      <w:r>
        <w:rPr>
          <w:rFonts w:hint="eastAsia" w:ascii="仿宋" w:hAnsi="仿宋" w:eastAsia="仿宋" w:cs="仿宋_GB2312"/>
          <w:color w:val="000000"/>
          <w:kern w:val="0"/>
          <w:sz w:val="28"/>
          <w:szCs w:val="28"/>
        </w:rPr>
        <w:t>创新能力评价</w:t>
      </w:r>
      <w:r>
        <w:rPr>
          <w:rFonts w:ascii="仿宋" w:hAnsi="仿宋" w:eastAsia="仿宋" w:cs="仿宋_GB2312"/>
          <w:kern w:val="0"/>
          <w:sz w:val="28"/>
          <w:szCs w:val="28"/>
        </w:rPr>
        <w:t>包括发表</w:t>
      </w:r>
      <w:r>
        <w:rPr>
          <w:rFonts w:hint="eastAsia" w:ascii="仿宋" w:hAnsi="仿宋" w:eastAsia="仿宋" w:cs="仿宋_GB2312"/>
          <w:kern w:val="0"/>
          <w:sz w:val="28"/>
          <w:szCs w:val="28"/>
        </w:rPr>
        <w:t>学术论文</w:t>
      </w:r>
      <w:r>
        <w:rPr>
          <w:rFonts w:ascii="仿宋" w:hAnsi="仿宋" w:eastAsia="仿宋" w:cs="仿宋_GB2312"/>
          <w:kern w:val="0"/>
          <w:sz w:val="28"/>
          <w:szCs w:val="28"/>
        </w:rPr>
        <w:t>、</w:t>
      </w:r>
      <w:r>
        <w:rPr>
          <w:rFonts w:hint="eastAsia" w:ascii="仿宋" w:hAnsi="仿宋" w:eastAsia="仿宋" w:cs="仿宋_GB2312"/>
          <w:kern w:val="0"/>
          <w:sz w:val="28"/>
          <w:szCs w:val="28"/>
        </w:rPr>
        <w:t>学生竞赛</w:t>
      </w:r>
      <w:r>
        <w:rPr>
          <w:rFonts w:ascii="仿宋" w:hAnsi="仿宋" w:eastAsia="仿宋" w:cs="仿宋_GB2312"/>
          <w:kern w:val="0"/>
          <w:sz w:val="28"/>
          <w:szCs w:val="28"/>
        </w:rPr>
        <w:t>、</w:t>
      </w:r>
      <w:r>
        <w:rPr>
          <w:rFonts w:hint="eastAsia" w:ascii="仿宋" w:hAnsi="仿宋" w:eastAsia="仿宋" w:cs="仿宋_GB2312"/>
          <w:kern w:val="0"/>
          <w:sz w:val="28"/>
          <w:szCs w:val="28"/>
        </w:rPr>
        <w:t>知识产权</w:t>
      </w:r>
      <w:r>
        <w:rPr>
          <w:rFonts w:ascii="仿宋" w:hAnsi="仿宋" w:eastAsia="仿宋" w:cs="仿宋_GB2312"/>
          <w:kern w:val="0"/>
          <w:sz w:val="28"/>
          <w:szCs w:val="28"/>
        </w:rPr>
        <w:t>等</w:t>
      </w:r>
      <w:r>
        <w:rPr>
          <w:rFonts w:hint="eastAsia" w:ascii="仿宋" w:hAnsi="仿宋" w:eastAsia="仿宋" w:cs="仿宋_GB2312"/>
          <w:kern w:val="0"/>
          <w:sz w:val="28"/>
          <w:szCs w:val="28"/>
        </w:rPr>
        <w:t>评价</w:t>
      </w:r>
      <w:r>
        <w:rPr>
          <w:rFonts w:ascii="仿宋" w:hAnsi="仿宋" w:eastAsia="仿宋" w:cs="仿宋_GB2312"/>
          <w:kern w:val="0"/>
          <w:sz w:val="28"/>
          <w:szCs w:val="28"/>
        </w:rPr>
        <w:t>。成果截止日期为推免当年8月31日</w:t>
      </w:r>
      <w:r>
        <w:rPr>
          <w:rFonts w:hint="eastAsia" w:ascii="仿宋" w:hAnsi="仿宋" w:eastAsia="仿宋" w:cs="仿宋_GB2312"/>
          <w:kern w:val="0"/>
          <w:sz w:val="28"/>
          <w:szCs w:val="28"/>
        </w:rPr>
        <w:t>，学术论文</w:t>
      </w:r>
      <w:r>
        <w:rPr>
          <w:rFonts w:ascii="仿宋" w:hAnsi="仿宋" w:eastAsia="仿宋" w:cs="仿宋_GB2312"/>
          <w:kern w:val="0"/>
          <w:sz w:val="28"/>
          <w:szCs w:val="28"/>
        </w:rPr>
        <w:t>、</w:t>
      </w:r>
      <w:r>
        <w:rPr>
          <w:rFonts w:hint="eastAsia" w:ascii="仿宋" w:hAnsi="仿宋" w:eastAsia="仿宋" w:cs="仿宋_GB2312"/>
          <w:kern w:val="0"/>
          <w:sz w:val="28"/>
          <w:szCs w:val="28"/>
        </w:rPr>
        <w:t>知识产权等第一署名应为华南农业大学，学生竞赛等应为校内组织参与。此项加分累计超过1</w:t>
      </w:r>
      <w:r>
        <w:rPr>
          <w:rFonts w:ascii="仿宋" w:hAnsi="仿宋" w:eastAsia="仿宋" w:cs="仿宋_GB2312"/>
          <w:kern w:val="0"/>
          <w:sz w:val="28"/>
          <w:szCs w:val="28"/>
        </w:rPr>
        <w:t>0</w:t>
      </w:r>
      <w:r>
        <w:rPr>
          <w:rFonts w:hint="eastAsia" w:ascii="仿宋" w:hAnsi="仿宋" w:eastAsia="仿宋" w:cs="仿宋_GB2312"/>
          <w:kern w:val="0"/>
          <w:sz w:val="28"/>
          <w:szCs w:val="28"/>
        </w:rPr>
        <w:t>分按1</w:t>
      </w:r>
      <w:r>
        <w:rPr>
          <w:rFonts w:ascii="仿宋" w:hAnsi="仿宋" w:eastAsia="仿宋" w:cs="仿宋_GB2312"/>
          <w:kern w:val="0"/>
          <w:sz w:val="28"/>
          <w:szCs w:val="28"/>
        </w:rPr>
        <w:t>0</w:t>
      </w:r>
      <w:r>
        <w:rPr>
          <w:rFonts w:hint="eastAsia" w:ascii="仿宋" w:hAnsi="仿宋" w:eastAsia="仿宋" w:cs="仿宋_GB2312"/>
          <w:kern w:val="0"/>
          <w:sz w:val="28"/>
          <w:szCs w:val="28"/>
        </w:rPr>
        <w:t>分计。</w:t>
      </w:r>
    </w:p>
    <w:p w14:paraId="1326A3D5">
      <w:pPr>
        <w:widowControl/>
        <w:adjustRightInd w:val="0"/>
        <w:snapToGrid w:val="0"/>
        <w:spacing w:line="360" w:lineRule="auto"/>
        <w:ind w:firstLine="560" w:firstLineChars="200"/>
        <w:rPr>
          <w:rFonts w:ascii="仿宋" w:hAnsi="仿宋" w:eastAsia="仿宋" w:cs="仿宋_GB2312"/>
          <w:kern w:val="0"/>
          <w:sz w:val="28"/>
          <w:szCs w:val="28"/>
        </w:rPr>
      </w:pPr>
      <w:r>
        <w:rPr>
          <w:rFonts w:hint="eastAsia" w:ascii="仿宋" w:hAnsi="仿宋" w:eastAsia="仿宋" w:cs="仿宋_GB2312"/>
          <w:kern w:val="0"/>
          <w:sz w:val="28"/>
          <w:szCs w:val="28"/>
        </w:rPr>
        <w:t>1</w:t>
      </w:r>
      <w:r>
        <w:rPr>
          <w:rFonts w:ascii="仿宋" w:hAnsi="仿宋" w:eastAsia="仿宋" w:cs="仿宋_GB2312"/>
          <w:kern w:val="0"/>
          <w:sz w:val="28"/>
          <w:szCs w:val="28"/>
        </w:rPr>
        <w:t>.</w:t>
      </w:r>
      <w:r>
        <w:rPr>
          <w:rFonts w:hint="eastAsia" w:ascii="仿宋" w:hAnsi="仿宋" w:eastAsia="仿宋" w:cs="仿宋_GB2312"/>
          <w:kern w:val="0"/>
          <w:sz w:val="28"/>
          <w:szCs w:val="28"/>
        </w:rPr>
        <w:t>学术论文</w:t>
      </w:r>
    </w:p>
    <w:p w14:paraId="13393509">
      <w:pPr>
        <w:widowControl/>
        <w:adjustRightInd w:val="0"/>
        <w:snapToGrid w:val="0"/>
        <w:spacing w:line="360" w:lineRule="auto"/>
        <w:ind w:firstLine="560" w:firstLineChars="200"/>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仅限学生本科阶段以华南农业大学为第一完成单位，学生在期刊、高水平学术会议上发表的与学业相关的科研论文，论文等依据现行《华南农业大学学术论文评价方案》为准，计分如下：</w:t>
      </w:r>
    </w:p>
    <w:tbl>
      <w:tblPr>
        <w:tblStyle w:val="10"/>
        <w:tblW w:w="8861"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719"/>
        <w:gridCol w:w="705"/>
        <w:gridCol w:w="1185"/>
        <w:gridCol w:w="1230"/>
        <w:gridCol w:w="1200"/>
        <w:gridCol w:w="3822"/>
      </w:tblGrid>
      <w:tr w14:paraId="275B10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7" w:hRule="atLeast"/>
          <w:jc w:val="center"/>
        </w:trPr>
        <w:tc>
          <w:tcPr>
            <w:tcW w:w="1424" w:type="dxa"/>
            <w:gridSpan w:val="2"/>
            <w:vAlign w:val="center"/>
          </w:tcPr>
          <w:p w14:paraId="7EDA3AAE">
            <w:pPr>
              <w:widowControl/>
              <w:adjustRightInd w:val="0"/>
              <w:snapToGrid w:val="0"/>
              <w:jc w:val="center"/>
              <w:rPr>
                <w:rFonts w:ascii="仿宋" w:hAnsi="仿宋" w:eastAsia="仿宋" w:cs="仿宋_GB2312"/>
                <w:b/>
                <w:bCs/>
                <w:kern w:val="0"/>
                <w:sz w:val="24"/>
              </w:rPr>
            </w:pPr>
            <w:r>
              <w:rPr>
                <w:rFonts w:hint="eastAsia" w:ascii="仿宋" w:hAnsi="仿宋" w:eastAsia="仿宋" w:cs="仿宋_GB2312"/>
                <w:b/>
                <w:bCs/>
                <w:kern w:val="0"/>
                <w:sz w:val="24"/>
              </w:rPr>
              <w:t>项  目</w:t>
            </w:r>
          </w:p>
        </w:tc>
        <w:tc>
          <w:tcPr>
            <w:tcW w:w="3615" w:type="dxa"/>
            <w:gridSpan w:val="3"/>
            <w:vAlign w:val="center"/>
          </w:tcPr>
          <w:p w14:paraId="612E56F9">
            <w:pPr>
              <w:widowControl/>
              <w:adjustRightInd w:val="0"/>
              <w:snapToGrid w:val="0"/>
              <w:jc w:val="center"/>
              <w:rPr>
                <w:rFonts w:ascii="仿宋" w:hAnsi="仿宋" w:eastAsia="仿宋" w:cs="仿宋_GB2312"/>
                <w:b/>
                <w:bCs/>
                <w:kern w:val="0"/>
                <w:sz w:val="24"/>
              </w:rPr>
            </w:pPr>
            <w:r>
              <w:rPr>
                <w:rFonts w:hint="eastAsia" w:ascii="仿宋" w:hAnsi="仿宋" w:eastAsia="仿宋" w:cs="仿宋_GB2312"/>
                <w:b/>
                <w:bCs/>
                <w:kern w:val="0"/>
                <w:sz w:val="24"/>
              </w:rPr>
              <w:t>计分分值</w:t>
            </w:r>
          </w:p>
        </w:tc>
        <w:tc>
          <w:tcPr>
            <w:tcW w:w="3822" w:type="dxa"/>
            <w:vMerge w:val="restart"/>
            <w:vAlign w:val="center"/>
          </w:tcPr>
          <w:p w14:paraId="70BC3D6D">
            <w:pPr>
              <w:widowControl/>
              <w:adjustRightInd w:val="0"/>
              <w:snapToGrid w:val="0"/>
              <w:jc w:val="center"/>
              <w:rPr>
                <w:rFonts w:ascii="仿宋" w:hAnsi="仿宋" w:eastAsia="仿宋" w:cs="仿宋_GB2312"/>
                <w:b/>
                <w:bCs/>
                <w:kern w:val="0"/>
                <w:sz w:val="28"/>
                <w:szCs w:val="28"/>
              </w:rPr>
            </w:pPr>
            <w:r>
              <w:rPr>
                <w:rFonts w:hint="eastAsia" w:ascii="仿宋" w:hAnsi="仿宋" w:eastAsia="仿宋" w:cs="仿宋_GB2312"/>
                <w:b/>
                <w:bCs/>
                <w:kern w:val="0"/>
                <w:sz w:val="28"/>
                <w:szCs w:val="28"/>
              </w:rPr>
              <w:t>备注</w:t>
            </w:r>
          </w:p>
        </w:tc>
      </w:tr>
      <w:tr w14:paraId="538427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0" w:hRule="atLeast"/>
          <w:jc w:val="center"/>
        </w:trPr>
        <w:tc>
          <w:tcPr>
            <w:tcW w:w="719" w:type="dxa"/>
            <w:vAlign w:val="center"/>
          </w:tcPr>
          <w:p w14:paraId="1491A516">
            <w:pPr>
              <w:widowControl/>
              <w:adjustRightInd w:val="0"/>
              <w:snapToGrid w:val="0"/>
              <w:jc w:val="center"/>
              <w:rPr>
                <w:rFonts w:ascii="仿宋" w:hAnsi="仿宋" w:eastAsia="仿宋" w:cs="仿宋_GB2312"/>
                <w:b/>
                <w:bCs/>
                <w:kern w:val="0"/>
                <w:sz w:val="24"/>
              </w:rPr>
            </w:pPr>
            <w:r>
              <w:rPr>
                <w:rFonts w:hint="eastAsia" w:ascii="仿宋" w:hAnsi="仿宋" w:eastAsia="仿宋" w:cs="仿宋_GB2312"/>
                <w:b/>
                <w:bCs/>
                <w:kern w:val="0"/>
                <w:sz w:val="24"/>
              </w:rPr>
              <w:t>类别</w:t>
            </w:r>
          </w:p>
        </w:tc>
        <w:tc>
          <w:tcPr>
            <w:tcW w:w="705" w:type="dxa"/>
            <w:vAlign w:val="center"/>
          </w:tcPr>
          <w:p w14:paraId="18D02BAC">
            <w:pPr>
              <w:widowControl/>
              <w:adjustRightInd w:val="0"/>
              <w:snapToGrid w:val="0"/>
              <w:jc w:val="center"/>
              <w:rPr>
                <w:rFonts w:ascii="仿宋" w:hAnsi="仿宋" w:eastAsia="仿宋" w:cs="仿宋_GB2312"/>
                <w:b/>
                <w:bCs/>
                <w:kern w:val="0"/>
                <w:sz w:val="24"/>
              </w:rPr>
            </w:pPr>
            <w:r>
              <w:rPr>
                <w:rFonts w:hint="eastAsia" w:ascii="仿宋" w:hAnsi="仿宋" w:eastAsia="仿宋" w:cs="仿宋_GB2312"/>
                <w:b/>
                <w:bCs/>
                <w:kern w:val="0"/>
                <w:sz w:val="24"/>
              </w:rPr>
              <w:t>等级</w:t>
            </w:r>
          </w:p>
        </w:tc>
        <w:tc>
          <w:tcPr>
            <w:tcW w:w="1185" w:type="dxa"/>
            <w:vAlign w:val="center"/>
          </w:tcPr>
          <w:p w14:paraId="56CB959E">
            <w:pPr>
              <w:widowControl/>
              <w:adjustRightInd w:val="0"/>
              <w:snapToGrid w:val="0"/>
              <w:jc w:val="center"/>
              <w:rPr>
                <w:rFonts w:ascii="仿宋" w:hAnsi="仿宋" w:eastAsia="仿宋" w:cs="仿宋_GB2312"/>
                <w:b/>
                <w:bCs/>
                <w:kern w:val="0"/>
                <w:sz w:val="24"/>
              </w:rPr>
            </w:pPr>
            <w:r>
              <w:rPr>
                <w:rFonts w:hint="eastAsia" w:ascii="仿宋" w:hAnsi="仿宋" w:eastAsia="仿宋" w:cs="仿宋_GB2312"/>
                <w:b/>
                <w:bCs/>
                <w:kern w:val="0"/>
                <w:sz w:val="24"/>
              </w:rPr>
              <w:t>第一作者</w:t>
            </w:r>
          </w:p>
        </w:tc>
        <w:tc>
          <w:tcPr>
            <w:tcW w:w="1230" w:type="dxa"/>
            <w:vAlign w:val="center"/>
          </w:tcPr>
          <w:p w14:paraId="7DB1CD51">
            <w:pPr>
              <w:widowControl/>
              <w:adjustRightInd w:val="0"/>
              <w:snapToGrid w:val="0"/>
              <w:jc w:val="center"/>
              <w:rPr>
                <w:rFonts w:ascii="仿宋" w:hAnsi="仿宋" w:eastAsia="仿宋" w:cs="仿宋_GB2312"/>
                <w:b/>
                <w:bCs/>
                <w:kern w:val="0"/>
                <w:sz w:val="24"/>
              </w:rPr>
            </w:pPr>
            <w:r>
              <w:rPr>
                <w:rFonts w:hint="eastAsia" w:ascii="仿宋" w:hAnsi="仿宋" w:eastAsia="仿宋" w:cs="仿宋_GB2312"/>
                <w:b/>
                <w:bCs/>
                <w:kern w:val="0"/>
                <w:sz w:val="24"/>
              </w:rPr>
              <w:t>第二作者</w:t>
            </w:r>
          </w:p>
        </w:tc>
        <w:tc>
          <w:tcPr>
            <w:tcW w:w="1200" w:type="dxa"/>
            <w:vAlign w:val="center"/>
          </w:tcPr>
          <w:p w14:paraId="113E3DBD">
            <w:pPr>
              <w:widowControl/>
              <w:adjustRightInd w:val="0"/>
              <w:snapToGrid w:val="0"/>
              <w:jc w:val="center"/>
              <w:rPr>
                <w:rFonts w:ascii="仿宋" w:hAnsi="仿宋" w:eastAsia="仿宋" w:cs="仿宋_GB2312"/>
                <w:b/>
                <w:bCs/>
                <w:kern w:val="0"/>
                <w:sz w:val="24"/>
              </w:rPr>
            </w:pPr>
            <w:r>
              <w:rPr>
                <w:rFonts w:hint="eastAsia" w:ascii="仿宋" w:hAnsi="仿宋" w:eastAsia="仿宋" w:cs="仿宋_GB2312"/>
                <w:b/>
                <w:bCs/>
                <w:kern w:val="0"/>
                <w:sz w:val="24"/>
              </w:rPr>
              <w:t>第三作者</w:t>
            </w:r>
          </w:p>
        </w:tc>
        <w:tc>
          <w:tcPr>
            <w:tcW w:w="3822" w:type="dxa"/>
            <w:vMerge w:val="continue"/>
            <w:vAlign w:val="center"/>
          </w:tcPr>
          <w:p w14:paraId="22301509">
            <w:pPr>
              <w:widowControl/>
              <w:adjustRightInd w:val="0"/>
              <w:snapToGrid w:val="0"/>
              <w:jc w:val="center"/>
              <w:rPr>
                <w:rFonts w:ascii="仿宋" w:hAnsi="仿宋" w:eastAsia="仿宋" w:cs="仿宋_GB2312"/>
                <w:b/>
                <w:bCs/>
                <w:kern w:val="0"/>
                <w:sz w:val="28"/>
                <w:szCs w:val="28"/>
              </w:rPr>
            </w:pPr>
          </w:p>
        </w:tc>
      </w:tr>
      <w:tr w14:paraId="4C4A80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61" w:hRule="atLeast"/>
          <w:jc w:val="center"/>
        </w:trPr>
        <w:tc>
          <w:tcPr>
            <w:tcW w:w="1424" w:type="dxa"/>
            <w:gridSpan w:val="2"/>
            <w:vAlign w:val="center"/>
          </w:tcPr>
          <w:p w14:paraId="0148F7FC">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T1</w:t>
            </w:r>
          </w:p>
        </w:tc>
        <w:tc>
          <w:tcPr>
            <w:tcW w:w="1185" w:type="dxa"/>
            <w:vAlign w:val="center"/>
          </w:tcPr>
          <w:p w14:paraId="1544F7EE">
            <w:pPr>
              <w:widowControl/>
              <w:adjustRightInd w:val="0"/>
              <w:snapToGrid w:val="0"/>
              <w:jc w:val="center"/>
              <w:rPr>
                <w:rFonts w:ascii="仿宋" w:hAnsi="仿宋" w:eastAsia="仿宋" w:cs="仿宋_GB2312"/>
                <w:b/>
                <w:bCs/>
                <w:kern w:val="0"/>
                <w:sz w:val="24"/>
              </w:rPr>
            </w:pPr>
            <w:r>
              <w:rPr>
                <w:rFonts w:hint="eastAsia" w:ascii="仿宋" w:hAnsi="仿宋" w:eastAsia="仿宋" w:cs="仿宋_GB2312"/>
                <w:b/>
                <w:bCs/>
                <w:kern w:val="0"/>
                <w:sz w:val="24"/>
              </w:rPr>
              <w:t>8</w:t>
            </w:r>
          </w:p>
        </w:tc>
        <w:tc>
          <w:tcPr>
            <w:tcW w:w="1230" w:type="dxa"/>
            <w:vAlign w:val="center"/>
          </w:tcPr>
          <w:p w14:paraId="6C240E54">
            <w:pPr>
              <w:widowControl/>
              <w:adjustRightInd w:val="0"/>
              <w:snapToGrid w:val="0"/>
              <w:jc w:val="center"/>
              <w:rPr>
                <w:rFonts w:ascii="仿宋" w:hAnsi="仿宋" w:eastAsia="仿宋" w:cs="仿宋_GB2312"/>
                <w:b/>
                <w:bCs/>
                <w:kern w:val="0"/>
                <w:sz w:val="24"/>
              </w:rPr>
            </w:pPr>
            <w:r>
              <w:rPr>
                <w:rFonts w:hint="eastAsia" w:ascii="仿宋" w:hAnsi="仿宋" w:eastAsia="仿宋" w:cs="仿宋_GB2312"/>
                <w:b/>
                <w:bCs/>
                <w:kern w:val="0"/>
                <w:sz w:val="24"/>
              </w:rPr>
              <w:t>4</w:t>
            </w:r>
          </w:p>
        </w:tc>
        <w:tc>
          <w:tcPr>
            <w:tcW w:w="1200" w:type="dxa"/>
            <w:vAlign w:val="center"/>
          </w:tcPr>
          <w:p w14:paraId="6D54D205">
            <w:pPr>
              <w:widowControl/>
              <w:adjustRightInd w:val="0"/>
              <w:snapToGrid w:val="0"/>
              <w:jc w:val="center"/>
              <w:rPr>
                <w:rFonts w:ascii="仿宋" w:hAnsi="仿宋" w:eastAsia="仿宋" w:cs="仿宋_GB2312"/>
                <w:b/>
                <w:bCs/>
                <w:kern w:val="0"/>
                <w:sz w:val="24"/>
              </w:rPr>
            </w:pPr>
            <w:r>
              <w:rPr>
                <w:rFonts w:hint="eastAsia" w:ascii="仿宋" w:hAnsi="仿宋" w:eastAsia="仿宋" w:cs="仿宋_GB2312"/>
                <w:b/>
                <w:bCs/>
                <w:kern w:val="0"/>
                <w:sz w:val="24"/>
              </w:rPr>
              <w:t>2</w:t>
            </w:r>
          </w:p>
        </w:tc>
        <w:tc>
          <w:tcPr>
            <w:tcW w:w="3822" w:type="dxa"/>
            <w:vMerge w:val="restart"/>
            <w:vAlign w:val="center"/>
          </w:tcPr>
          <w:p w14:paraId="4A218499">
            <w:pPr>
              <w:widowControl/>
              <w:adjustRightInd w:val="0"/>
              <w:snapToGrid w:val="0"/>
              <w:spacing w:after="156" w:afterLines="50"/>
              <w:rPr>
                <w:rFonts w:ascii="仿宋" w:hAnsi="仿宋" w:eastAsia="仿宋" w:cs="仿宋_GB2312"/>
                <w:spacing w:val="-6"/>
                <w:kern w:val="0"/>
                <w:szCs w:val="21"/>
              </w:rPr>
            </w:pPr>
            <w:r>
              <w:rPr>
                <w:rFonts w:ascii="仿宋" w:hAnsi="仿宋" w:eastAsia="仿宋" w:cs="仿宋_GB2312"/>
                <w:spacing w:val="-6"/>
                <w:kern w:val="0"/>
                <w:szCs w:val="21"/>
              </w:rPr>
              <w:t>1、所发表论文必须</w:t>
            </w:r>
            <w:r>
              <w:rPr>
                <w:rFonts w:hint="eastAsia" w:ascii="仿宋" w:hAnsi="仿宋" w:eastAsia="仿宋" w:cs="仿宋_GB2312"/>
                <w:b/>
                <w:bCs/>
                <w:spacing w:val="-6"/>
                <w:kern w:val="0"/>
                <w:szCs w:val="21"/>
              </w:rPr>
              <w:t>与本专业密切相关</w:t>
            </w:r>
            <w:r>
              <w:rPr>
                <w:rFonts w:hint="eastAsia" w:ascii="仿宋" w:hAnsi="仿宋" w:eastAsia="仿宋" w:cs="仿宋_GB2312"/>
                <w:spacing w:val="-6"/>
                <w:kern w:val="0"/>
                <w:szCs w:val="21"/>
              </w:rPr>
              <w:t>，与专业无关或相关度不高的论文不予加分；</w:t>
            </w:r>
          </w:p>
          <w:p w14:paraId="6C07C71F">
            <w:pPr>
              <w:adjustRightInd w:val="0"/>
              <w:snapToGrid w:val="0"/>
              <w:spacing w:after="156" w:afterLines="50"/>
              <w:rPr>
                <w:rFonts w:ascii="仿宋" w:hAnsi="仿宋" w:eastAsia="仿宋" w:cs="仿宋_GB2312"/>
                <w:spacing w:val="-2"/>
                <w:szCs w:val="21"/>
              </w:rPr>
            </w:pPr>
            <w:r>
              <w:rPr>
                <w:rFonts w:ascii="仿宋" w:hAnsi="仿宋" w:eastAsia="仿宋" w:cs="仿宋_GB2312"/>
                <w:spacing w:val="-2"/>
                <w:kern w:val="0"/>
                <w:szCs w:val="21"/>
              </w:rPr>
              <w:t>2、论文</w:t>
            </w:r>
            <w:r>
              <w:rPr>
                <w:rFonts w:hint="eastAsia" w:ascii="仿宋" w:hAnsi="仿宋" w:eastAsia="仿宋" w:cs="仿宋_GB2312"/>
                <w:spacing w:val="-2"/>
                <w:szCs w:val="21"/>
              </w:rPr>
              <w:t>要求学生第一署名单位为华南农业大学，首要通讯作者应为华农老师，且应在推免当年</w:t>
            </w:r>
            <w:r>
              <w:rPr>
                <w:rFonts w:ascii="仿宋" w:hAnsi="仿宋" w:eastAsia="仿宋" w:cs="仿宋_GB2312"/>
                <w:spacing w:val="-2"/>
                <w:szCs w:val="21"/>
              </w:rPr>
              <w:t>8月31日前</w:t>
            </w:r>
            <w:r>
              <w:rPr>
                <w:rFonts w:hint="eastAsia" w:ascii="仿宋" w:hAnsi="仿宋" w:eastAsia="仿宋" w:cs="仿宋_GB2312"/>
                <w:spacing w:val="-2"/>
                <w:szCs w:val="21"/>
              </w:rPr>
              <w:t>刊出或收录；</w:t>
            </w:r>
          </w:p>
          <w:p w14:paraId="332D265D">
            <w:pPr>
              <w:adjustRightInd w:val="0"/>
              <w:snapToGrid w:val="0"/>
              <w:spacing w:after="156" w:afterLines="50"/>
              <w:rPr>
                <w:rFonts w:ascii="仿宋" w:hAnsi="仿宋" w:eastAsia="仿宋" w:cs="仿宋_GB2312"/>
                <w:szCs w:val="21"/>
              </w:rPr>
            </w:pPr>
            <w:r>
              <w:rPr>
                <w:rFonts w:hint="eastAsia" w:ascii="仿宋" w:hAnsi="仿宋" w:eastAsia="仿宋" w:cs="仿宋_GB2312"/>
                <w:szCs w:val="21"/>
              </w:rPr>
              <w:t>3、出现2个及以上的共同第一作者时，则按照全部作者的前后顺序予以认定。</w:t>
            </w:r>
          </w:p>
          <w:p w14:paraId="607F91C8">
            <w:pPr>
              <w:widowControl/>
              <w:adjustRightInd w:val="0"/>
              <w:snapToGrid w:val="0"/>
              <w:rPr>
                <w:rFonts w:ascii="仿宋" w:hAnsi="仿宋" w:eastAsia="仿宋" w:cs="仿宋_GB2312"/>
                <w:b/>
                <w:bCs/>
                <w:kern w:val="0"/>
                <w:sz w:val="28"/>
                <w:szCs w:val="28"/>
              </w:rPr>
            </w:pPr>
            <w:r>
              <w:rPr>
                <w:rFonts w:hint="eastAsia" w:ascii="仿宋" w:hAnsi="仿宋" w:eastAsia="仿宋" w:cs="仿宋_GB2312"/>
                <w:szCs w:val="21"/>
              </w:rPr>
              <w:t>4、论文级别以《华南农业大学学术论文评价方案（试行）》华南农办〔2021〕27号文为准，需提供图书馆出具的清楚写明期刊分区、影响因子、收录时间等情况的证明。</w:t>
            </w:r>
          </w:p>
        </w:tc>
      </w:tr>
      <w:tr w14:paraId="75D0DB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53" w:hRule="atLeast"/>
          <w:jc w:val="center"/>
        </w:trPr>
        <w:tc>
          <w:tcPr>
            <w:tcW w:w="1424" w:type="dxa"/>
            <w:gridSpan w:val="2"/>
            <w:vAlign w:val="center"/>
          </w:tcPr>
          <w:p w14:paraId="48228E4E">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T2</w:t>
            </w:r>
          </w:p>
        </w:tc>
        <w:tc>
          <w:tcPr>
            <w:tcW w:w="1185" w:type="dxa"/>
            <w:vAlign w:val="center"/>
          </w:tcPr>
          <w:p w14:paraId="3D2588B2">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5</w:t>
            </w:r>
          </w:p>
        </w:tc>
        <w:tc>
          <w:tcPr>
            <w:tcW w:w="1230" w:type="dxa"/>
            <w:vAlign w:val="center"/>
          </w:tcPr>
          <w:p w14:paraId="5B50EFEF">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2.5</w:t>
            </w:r>
          </w:p>
        </w:tc>
        <w:tc>
          <w:tcPr>
            <w:tcW w:w="1200" w:type="dxa"/>
            <w:vAlign w:val="center"/>
          </w:tcPr>
          <w:p w14:paraId="796B79C7">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1.25</w:t>
            </w:r>
          </w:p>
        </w:tc>
        <w:tc>
          <w:tcPr>
            <w:tcW w:w="3822" w:type="dxa"/>
            <w:vMerge w:val="continue"/>
            <w:vAlign w:val="center"/>
          </w:tcPr>
          <w:p w14:paraId="1EC77995">
            <w:pPr>
              <w:widowControl/>
              <w:adjustRightInd w:val="0"/>
              <w:snapToGrid w:val="0"/>
              <w:jc w:val="center"/>
              <w:rPr>
                <w:rFonts w:ascii="仿宋" w:hAnsi="仿宋" w:eastAsia="仿宋" w:cs="仿宋_GB2312"/>
                <w:szCs w:val="21"/>
              </w:rPr>
            </w:pPr>
          </w:p>
        </w:tc>
      </w:tr>
      <w:tr w14:paraId="1B2EE4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5" w:hRule="atLeast"/>
          <w:jc w:val="center"/>
        </w:trPr>
        <w:tc>
          <w:tcPr>
            <w:tcW w:w="1424" w:type="dxa"/>
            <w:gridSpan w:val="2"/>
            <w:vAlign w:val="center"/>
          </w:tcPr>
          <w:p w14:paraId="3BB19B50">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A类</w:t>
            </w:r>
          </w:p>
        </w:tc>
        <w:tc>
          <w:tcPr>
            <w:tcW w:w="1185" w:type="dxa"/>
            <w:vAlign w:val="center"/>
          </w:tcPr>
          <w:p w14:paraId="3B11D2CA">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4</w:t>
            </w:r>
          </w:p>
        </w:tc>
        <w:tc>
          <w:tcPr>
            <w:tcW w:w="1230" w:type="dxa"/>
            <w:vAlign w:val="center"/>
          </w:tcPr>
          <w:p w14:paraId="38D9D585">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2</w:t>
            </w:r>
          </w:p>
        </w:tc>
        <w:tc>
          <w:tcPr>
            <w:tcW w:w="1200" w:type="dxa"/>
            <w:vAlign w:val="center"/>
          </w:tcPr>
          <w:p w14:paraId="7A6D2CD5">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w:t>
            </w:r>
          </w:p>
        </w:tc>
        <w:tc>
          <w:tcPr>
            <w:tcW w:w="3822" w:type="dxa"/>
            <w:vMerge w:val="continue"/>
            <w:vAlign w:val="center"/>
          </w:tcPr>
          <w:p w14:paraId="0FC5DDBB">
            <w:pPr>
              <w:widowControl/>
              <w:adjustRightInd w:val="0"/>
              <w:snapToGrid w:val="0"/>
              <w:jc w:val="center"/>
              <w:rPr>
                <w:rFonts w:ascii="仿宋" w:hAnsi="仿宋" w:eastAsia="仿宋" w:cs="仿宋_GB2312"/>
                <w:szCs w:val="21"/>
              </w:rPr>
            </w:pPr>
          </w:p>
        </w:tc>
      </w:tr>
      <w:tr w14:paraId="39CC02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97" w:hRule="atLeast"/>
          <w:jc w:val="center"/>
        </w:trPr>
        <w:tc>
          <w:tcPr>
            <w:tcW w:w="1424" w:type="dxa"/>
            <w:gridSpan w:val="2"/>
            <w:vAlign w:val="center"/>
          </w:tcPr>
          <w:p w14:paraId="07EAFF50">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B类</w:t>
            </w:r>
          </w:p>
        </w:tc>
        <w:tc>
          <w:tcPr>
            <w:tcW w:w="1185" w:type="dxa"/>
            <w:vAlign w:val="center"/>
          </w:tcPr>
          <w:p w14:paraId="6BDE0C5C">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3</w:t>
            </w:r>
          </w:p>
        </w:tc>
        <w:tc>
          <w:tcPr>
            <w:tcW w:w="1230" w:type="dxa"/>
            <w:vAlign w:val="center"/>
          </w:tcPr>
          <w:p w14:paraId="50873D01">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1.5</w:t>
            </w:r>
          </w:p>
        </w:tc>
        <w:tc>
          <w:tcPr>
            <w:tcW w:w="1200" w:type="dxa"/>
            <w:vAlign w:val="center"/>
          </w:tcPr>
          <w:p w14:paraId="7DE4B788">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w:t>
            </w:r>
          </w:p>
        </w:tc>
        <w:tc>
          <w:tcPr>
            <w:tcW w:w="3822" w:type="dxa"/>
            <w:vMerge w:val="continue"/>
            <w:vAlign w:val="center"/>
          </w:tcPr>
          <w:p w14:paraId="2D4BB27A">
            <w:pPr>
              <w:widowControl/>
              <w:adjustRightInd w:val="0"/>
              <w:snapToGrid w:val="0"/>
              <w:jc w:val="center"/>
              <w:rPr>
                <w:rFonts w:ascii="仿宋" w:hAnsi="仿宋" w:eastAsia="仿宋" w:cs="仿宋_GB2312"/>
                <w:szCs w:val="21"/>
              </w:rPr>
            </w:pPr>
          </w:p>
        </w:tc>
      </w:tr>
      <w:tr w14:paraId="3F78BF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51" w:hRule="atLeast"/>
          <w:jc w:val="center"/>
        </w:trPr>
        <w:tc>
          <w:tcPr>
            <w:tcW w:w="1424" w:type="dxa"/>
            <w:gridSpan w:val="2"/>
            <w:vAlign w:val="center"/>
          </w:tcPr>
          <w:p w14:paraId="1A16FDC7">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C类</w:t>
            </w:r>
          </w:p>
        </w:tc>
        <w:tc>
          <w:tcPr>
            <w:tcW w:w="1185" w:type="dxa"/>
            <w:vAlign w:val="center"/>
          </w:tcPr>
          <w:p w14:paraId="434F3582">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2</w:t>
            </w:r>
          </w:p>
        </w:tc>
        <w:tc>
          <w:tcPr>
            <w:tcW w:w="1230" w:type="dxa"/>
            <w:vAlign w:val="center"/>
          </w:tcPr>
          <w:p w14:paraId="5A92469A">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1</w:t>
            </w:r>
          </w:p>
        </w:tc>
        <w:tc>
          <w:tcPr>
            <w:tcW w:w="1200" w:type="dxa"/>
            <w:vAlign w:val="center"/>
          </w:tcPr>
          <w:p w14:paraId="0B959A4E">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w:t>
            </w:r>
          </w:p>
        </w:tc>
        <w:tc>
          <w:tcPr>
            <w:tcW w:w="3822" w:type="dxa"/>
            <w:vMerge w:val="continue"/>
            <w:vAlign w:val="center"/>
          </w:tcPr>
          <w:p w14:paraId="0464D1AF">
            <w:pPr>
              <w:widowControl/>
              <w:adjustRightInd w:val="0"/>
              <w:snapToGrid w:val="0"/>
              <w:jc w:val="center"/>
              <w:rPr>
                <w:rFonts w:ascii="仿宋" w:hAnsi="仿宋" w:eastAsia="仿宋" w:cs="仿宋_GB2312"/>
                <w:szCs w:val="21"/>
              </w:rPr>
            </w:pPr>
          </w:p>
        </w:tc>
      </w:tr>
      <w:tr w14:paraId="7F784F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6" w:hRule="atLeast"/>
          <w:jc w:val="center"/>
        </w:trPr>
        <w:tc>
          <w:tcPr>
            <w:tcW w:w="1424" w:type="dxa"/>
            <w:gridSpan w:val="2"/>
            <w:vAlign w:val="center"/>
          </w:tcPr>
          <w:p w14:paraId="18E9078A">
            <w:pPr>
              <w:widowControl/>
              <w:adjustRightInd w:val="0"/>
              <w:snapToGrid w:val="0"/>
              <w:jc w:val="center"/>
              <w:rPr>
                <w:rFonts w:ascii="仿宋" w:hAnsi="仿宋" w:eastAsia="仿宋" w:cs="仿宋_GB2312"/>
                <w:kern w:val="0"/>
                <w:sz w:val="24"/>
                <w:highlight w:val="yellow"/>
              </w:rPr>
            </w:pPr>
            <w:r>
              <w:rPr>
                <w:rFonts w:hint="eastAsia" w:ascii="仿宋" w:hAnsi="仿宋" w:eastAsia="仿宋" w:cs="仿宋_GB2312"/>
                <w:kern w:val="0"/>
                <w:sz w:val="24"/>
              </w:rPr>
              <w:t>普通期刊</w:t>
            </w:r>
          </w:p>
        </w:tc>
        <w:tc>
          <w:tcPr>
            <w:tcW w:w="1185" w:type="dxa"/>
            <w:vAlign w:val="center"/>
          </w:tcPr>
          <w:p w14:paraId="4A42F8FD">
            <w:pPr>
              <w:widowControl/>
              <w:adjustRightInd w:val="0"/>
              <w:snapToGrid w:val="0"/>
              <w:jc w:val="center"/>
              <w:rPr>
                <w:rFonts w:ascii="仿宋" w:hAnsi="仿宋" w:eastAsia="仿宋" w:cs="仿宋_GB2312"/>
                <w:kern w:val="0"/>
                <w:sz w:val="24"/>
                <w:highlight w:val="yellow"/>
              </w:rPr>
            </w:pPr>
            <w:r>
              <w:rPr>
                <w:rFonts w:hint="eastAsia" w:ascii="仿宋" w:hAnsi="仿宋" w:eastAsia="仿宋" w:cs="仿宋_GB2312"/>
                <w:kern w:val="0"/>
                <w:sz w:val="24"/>
              </w:rPr>
              <w:t>1</w:t>
            </w:r>
          </w:p>
        </w:tc>
        <w:tc>
          <w:tcPr>
            <w:tcW w:w="2430" w:type="dxa"/>
            <w:gridSpan w:val="2"/>
            <w:vAlign w:val="center"/>
          </w:tcPr>
          <w:p w14:paraId="2CFC16E8">
            <w:pPr>
              <w:widowControl/>
              <w:adjustRightInd w:val="0"/>
              <w:snapToGrid w:val="0"/>
              <w:jc w:val="center"/>
              <w:rPr>
                <w:rFonts w:ascii="仿宋" w:hAnsi="仿宋" w:eastAsia="仿宋" w:cs="仿宋_GB2312"/>
                <w:kern w:val="0"/>
                <w:sz w:val="24"/>
                <w:highlight w:val="yellow"/>
              </w:rPr>
            </w:pPr>
            <w:r>
              <w:rPr>
                <w:rFonts w:hint="eastAsia" w:ascii="仿宋" w:hAnsi="仿宋" w:eastAsia="仿宋" w:cs="仿宋_GB2312"/>
                <w:kern w:val="0"/>
                <w:sz w:val="24"/>
              </w:rPr>
              <w:t>限一篇</w:t>
            </w:r>
          </w:p>
        </w:tc>
        <w:tc>
          <w:tcPr>
            <w:tcW w:w="3822" w:type="dxa"/>
            <w:vMerge w:val="continue"/>
            <w:vAlign w:val="center"/>
          </w:tcPr>
          <w:p w14:paraId="709560EA">
            <w:pPr>
              <w:widowControl/>
              <w:adjustRightInd w:val="0"/>
              <w:snapToGrid w:val="0"/>
              <w:spacing w:after="156" w:afterLines="50"/>
              <w:rPr>
                <w:rFonts w:ascii="仿宋" w:hAnsi="仿宋" w:eastAsia="仿宋" w:cs="仿宋_GB2312"/>
                <w:kern w:val="0"/>
                <w:szCs w:val="21"/>
              </w:rPr>
            </w:pPr>
          </w:p>
        </w:tc>
      </w:tr>
    </w:tbl>
    <w:p w14:paraId="55003E10">
      <w:pPr>
        <w:widowControl/>
        <w:adjustRightInd w:val="0"/>
        <w:snapToGrid w:val="0"/>
        <w:spacing w:line="360" w:lineRule="auto"/>
        <w:ind w:firstLine="560" w:firstLineChars="200"/>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2</w:t>
      </w:r>
      <w:r>
        <w:rPr>
          <w:rFonts w:ascii="仿宋" w:hAnsi="仿宋" w:eastAsia="仿宋" w:cs="仿宋_GB2312"/>
          <w:color w:val="000000"/>
          <w:kern w:val="0"/>
          <w:sz w:val="28"/>
          <w:szCs w:val="28"/>
        </w:rPr>
        <w:t>.</w:t>
      </w:r>
      <w:r>
        <w:rPr>
          <w:rFonts w:hint="eastAsia" w:ascii="仿宋" w:hAnsi="仿宋" w:eastAsia="仿宋" w:cs="仿宋_GB2312"/>
          <w:color w:val="000000"/>
          <w:kern w:val="0"/>
          <w:sz w:val="28"/>
          <w:szCs w:val="28"/>
        </w:rPr>
        <w:t>学生竞赛</w:t>
      </w:r>
    </w:p>
    <w:p w14:paraId="4B5338B1">
      <w:pPr>
        <w:widowControl/>
        <w:adjustRightInd w:val="0"/>
        <w:snapToGrid w:val="0"/>
        <w:spacing w:line="360" w:lineRule="auto"/>
        <w:ind w:firstLine="560" w:firstLineChars="200"/>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学生竞赛参照现行《华南农业大学学生竞赛奖励办法》类型进行。不同赛事获奖可累计加分，同一项目获奖取最高奖励加分一次。</w:t>
      </w:r>
    </w:p>
    <w:p w14:paraId="6284CFF7">
      <w:pPr>
        <w:widowControl/>
        <w:adjustRightInd w:val="0"/>
        <w:snapToGrid w:val="0"/>
        <w:spacing w:line="360" w:lineRule="auto"/>
        <w:ind w:firstLine="560" w:firstLineChars="200"/>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（1）学科、创新创业竞赛</w:t>
      </w:r>
    </w:p>
    <w:tbl>
      <w:tblPr>
        <w:tblStyle w:val="10"/>
        <w:tblW w:w="88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3195"/>
        <w:gridCol w:w="1178"/>
        <w:gridCol w:w="954"/>
        <w:gridCol w:w="919"/>
        <w:gridCol w:w="2626"/>
      </w:tblGrid>
      <w:tr w14:paraId="55C96D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3195" w:type="dxa"/>
            <w:vAlign w:val="center"/>
          </w:tcPr>
          <w:p w14:paraId="09C1477C">
            <w:pPr>
              <w:widowControl/>
              <w:adjustRightInd w:val="0"/>
              <w:snapToGrid w:val="0"/>
              <w:jc w:val="center"/>
              <w:rPr>
                <w:rFonts w:ascii="仿宋" w:hAnsi="仿宋" w:eastAsia="仿宋" w:cs="仿宋_GB2312"/>
                <w:b/>
                <w:bCs/>
                <w:kern w:val="0"/>
                <w:sz w:val="24"/>
              </w:rPr>
            </w:pPr>
            <w:r>
              <w:rPr>
                <w:rFonts w:hint="eastAsia" w:ascii="仿宋" w:hAnsi="仿宋" w:eastAsia="仿宋" w:cs="仿宋_GB2312"/>
                <w:b/>
                <w:bCs/>
                <w:kern w:val="0"/>
                <w:sz w:val="24"/>
              </w:rPr>
              <w:t>等级</w:t>
            </w:r>
          </w:p>
        </w:tc>
        <w:tc>
          <w:tcPr>
            <w:tcW w:w="1178" w:type="dxa"/>
            <w:vAlign w:val="center"/>
          </w:tcPr>
          <w:p w14:paraId="7FF4B227">
            <w:pPr>
              <w:widowControl/>
              <w:adjustRightInd w:val="0"/>
              <w:snapToGrid w:val="0"/>
              <w:jc w:val="center"/>
              <w:rPr>
                <w:rFonts w:ascii="仿宋" w:hAnsi="仿宋" w:eastAsia="仿宋" w:cs="仿宋_GB2312"/>
                <w:b/>
                <w:bCs/>
                <w:kern w:val="0"/>
                <w:szCs w:val="21"/>
              </w:rPr>
            </w:pPr>
            <w:r>
              <w:rPr>
                <w:rFonts w:hint="eastAsia" w:ascii="仿宋" w:hAnsi="仿宋" w:eastAsia="仿宋" w:cs="仿宋_GB2312"/>
                <w:b/>
                <w:bCs/>
                <w:kern w:val="0"/>
                <w:szCs w:val="21"/>
              </w:rPr>
              <w:t>金奖/特等奖/一等奖</w:t>
            </w:r>
          </w:p>
        </w:tc>
        <w:tc>
          <w:tcPr>
            <w:tcW w:w="954" w:type="dxa"/>
            <w:vAlign w:val="center"/>
          </w:tcPr>
          <w:p w14:paraId="5141F7F5">
            <w:pPr>
              <w:widowControl/>
              <w:adjustRightInd w:val="0"/>
              <w:snapToGrid w:val="0"/>
              <w:jc w:val="center"/>
              <w:rPr>
                <w:rFonts w:ascii="仿宋" w:hAnsi="仿宋" w:eastAsia="仿宋" w:cs="仿宋_GB2312"/>
                <w:b/>
                <w:bCs/>
                <w:kern w:val="0"/>
                <w:szCs w:val="21"/>
              </w:rPr>
            </w:pPr>
            <w:r>
              <w:rPr>
                <w:rFonts w:hint="eastAsia" w:ascii="仿宋" w:hAnsi="仿宋" w:eastAsia="仿宋" w:cs="仿宋_GB2312"/>
                <w:b/>
                <w:bCs/>
                <w:kern w:val="0"/>
                <w:szCs w:val="21"/>
              </w:rPr>
              <w:t>银奖/二等奖</w:t>
            </w:r>
          </w:p>
        </w:tc>
        <w:tc>
          <w:tcPr>
            <w:tcW w:w="919" w:type="dxa"/>
            <w:vAlign w:val="center"/>
          </w:tcPr>
          <w:p w14:paraId="3D2D2B81">
            <w:pPr>
              <w:widowControl/>
              <w:adjustRightInd w:val="0"/>
              <w:snapToGrid w:val="0"/>
              <w:jc w:val="center"/>
              <w:rPr>
                <w:rFonts w:ascii="仿宋" w:hAnsi="仿宋" w:eastAsia="仿宋" w:cs="仿宋_GB2312"/>
                <w:b/>
                <w:bCs/>
                <w:kern w:val="0"/>
                <w:szCs w:val="21"/>
              </w:rPr>
            </w:pPr>
            <w:r>
              <w:rPr>
                <w:rFonts w:hint="eastAsia" w:ascii="仿宋" w:hAnsi="仿宋" w:eastAsia="仿宋" w:cs="仿宋_GB2312"/>
                <w:b/>
                <w:bCs/>
                <w:kern w:val="0"/>
                <w:szCs w:val="21"/>
              </w:rPr>
              <w:t>铜奖/三等奖</w:t>
            </w:r>
          </w:p>
        </w:tc>
        <w:tc>
          <w:tcPr>
            <w:tcW w:w="2626" w:type="dxa"/>
            <w:vMerge w:val="restart"/>
            <w:vAlign w:val="center"/>
          </w:tcPr>
          <w:p w14:paraId="2955666A">
            <w:pPr>
              <w:widowControl/>
              <w:adjustRightInd w:val="0"/>
              <w:snapToGrid w:val="0"/>
              <w:spacing w:after="156" w:afterLines="50"/>
              <w:rPr>
                <w:rFonts w:ascii="仿宋" w:hAnsi="仿宋" w:eastAsia="仿宋" w:cs="仿宋_GB2312"/>
                <w:kern w:val="0"/>
                <w:sz w:val="18"/>
                <w:szCs w:val="18"/>
              </w:rPr>
            </w:pPr>
            <w:r>
              <w:rPr>
                <w:rFonts w:hint="eastAsia" w:ascii="仿宋" w:hAnsi="仿宋" w:eastAsia="仿宋" w:cs="仿宋_GB2312"/>
                <w:kern w:val="0"/>
                <w:sz w:val="18"/>
                <w:szCs w:val="18"/>
              </w:rPr>
              <w:t>1、学科竞赛、项目内容必须</w:t>
            </w:r>
            <w:r>
              <w:rPr>
                <w:rFonts w:hint="eastAsia" w:ascii="仿宋" w:hAnsi="仿宋" w:eastAsia="仿宋" w:cs="仿宋_GB2312"/>
                <w:b/>
                <w:bCs/>
                <w:kern w:val="0"/>
                <w:sz w:val="18"/>
                <w:szCs w:val="18"/>
              </w:rPr>
              <w:t>与专业密切相关</w:t>
            </w:r>
            <w:r>
              <w:rPr>
                <w:rFonts w:hint="eastAsia" w:ascii="仿宋" w:hAnsi="仿宋" w:eastAsia="仿宋" w:cs="仿宋_GB2312"/>
                <w:kern w:val="0"/>
                <w:sz w:val="18"/>
                <w:szCs w:val="18"/>
              </w:rPr>
              <w:t>，级别以《华南农业大学学生竞赛奖励办法》华南农办〔2022〕</w:t>
            </w:r>
            <w:r>
              <w:rPr>
                <w:rFonts w:hint="eastAsia" w:ascii="仿宋" w:hAnsi="仿宋" w:eastAsia="仿宋" w:cs="仿宋_GB2312"/>
                <w:szCs w:val="21"/>
              </w:rPr>
              <w:t>38号文</w:t>
            </w:r>
            <w:r>
              <w:rPr>
                <w:rFonts w:hint="eastAsia" w:ascii="仿宋" w:hAnsi="仿宋" w:eastAsia="仿宋" w:cs="仿宋_GB2312"/>
                <w:kern w:val="0"/>
                <w:sz w:val="18"/>
                <w:szCs w:val="18"/>
              </w:rPr>
              <w:t>中规定为准；分类以《学生学科竞赛级别说明》为准；</w:t>
            </w:r>
          </w:p>
          <w:p w14:paraId="11941FCB">
            <w:pPr>
              <w:widowControl/>
              <w:adjustRightInd w:val="0"/>
              <w:snapToGrid w:val="0"/>
              <w:spacing w:after="156" w:afterLines="50"/>
              <w:rPr>
                <w:rFonts w:ascii="仿宋" w:hAnsi="仿宋" w:eastAsia="仿宋" w:cs="仿宋_GB2312"/>
                <w:kern w:val="0"/>
                <w:sz w:val="18"/>
                <w:szCs w:val="18"/>
              </w:rPr>
            </w:pPr>
            <w:r>
              <w:rPr>
                <w:rFonts w:hint="eastAsia" w:ascii="仿宋" w:hAnsi="仿宋" w:eastAsia="仿宋" w:cs="仿宋_GB2312"/>
                <w:kern w:val="0"/>
                <w:sz w:val="18"/>
                <w:szCs w:val="18"/>
              </w:rPr>
              <w:t>2、个人参赛获奖的按相应级别分数加；集体参加获奖的，负责人按相应级别分数加，团队其他成员按相应级别分数的一半加；</w:t>
            </w:r>
          </w:p>
          <w:p w14:paraId="6A54D7B8">
            <w:pPr>
              <w:widowControl/>
              <w:adjustRightInd w:val="0"/>
              <w:snapToGrid w:val="0"/>
              <w:rPr>
                <w:rFonts w:ascii="仿宋" w:hAnsi="仿宋" w:eastAsia="仿宋" w:cs="仿宋_GB2312"/>
                <w:kern w:val="0"/>
                <w:sz w:val="18"/>
                <w:szCs w:val="18"/>
              </w:rPr>
            </w:pPr>
            <w:r>
              <w:rPr>
                <w:rFonts w:hint="eastAsia" w:ascii="仿宋" w:hAnsi="仿宋" w:eastAsia="仿宋" w:cs="仿宋_GB2312"/>
                <w:kern w:val="0"/>
                <w:sz w:val="18"/>
                <w:szCs w:val="18"/>
              </w:rPr>
              <w:t>3、同一项目获不同奖励，按最高分计，不累计叠加；</w:t>
            </w:r>
          </w:p>
          <w:p w14:paraId="23DAB61E">
            <w:pPr>
              <w:widowControl/>
              <w:adjustRightInd w:val="0"/>
              <w:snapToGrid w:val="0"/>
              <w:rPr>
                <w:rFonts w:ascii="仿宋" w:hAnsi="仿宋" w:eastAsia="仿宋" w:cs="仿宋_GB2312"/>
                <w:kern w:val="0"/>
                <w:sz w:val="18"/>
                <w:szCs w:val="18"/>
              </w:rPr>
            </w:pPr>
          </w:p>
          <w:p w14:paraId="5AF71F53">
            <w:pPr>
              <w:widowControl/>
              <w:adjustRightInd w:val="0"/>
              <w:snapToGrid w:val="0"/>
              <w:rPr>
                <w:rFonts w:ascii="仿宋" w:hAnsi="仿宋" w:eastAsia="仿宋" w:cs="仿宋_GB2312"/>
                <w:kern w:val="0"/>
                <w:sz w:val="18"/>
                <w:szCs w:val="18"/>
              </w:rPr>
            </w:pPr>
            <w:r>
              <w:rPr>
                <w:rFonts w:hint="eastAsia" w:ascii="仿宋" w:hAnsi="仿宋" w:eastAsia="仿宋" w:cs="仿宋_GB2312"/>
                <w:kern w:val="0"/>
                <w:sz w:val="18"/>
                <w:szCs w:val="18"/>
              </w:rPr>
              <w:t>4、参加外校相关学科竞赛项目获奖不予加分。</w:t>
            </w:r>
          </w:p>
        </w:tc>
      </w:tr>
      <w:tr w14:paraId="56A139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75" w:hRule="atLeast"/>
          <w:jc w:val="center"/>
        </w:trPr>
        <w:tc>
          <w:tcPr>
            <w:tcW w:w="3195" w:type="dxa"/>
            <w:vAlign w:val="center"/>
          </w:tcPr>
          <w:p w14:paraId="27552009">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“挑战杯”全国大学生课外学术科技作品竞赛、“挑战杯”中国大学生创业计划大赛、中国“互联网+”大学生创新创业大赛</w:t>
            </w:r>
          </w:p>
        </w:tc>
        <w:tc>
          <w:tcPr>
            <w:tcW w:w="1178" w:type="dxa"/>
            <w:vAlign w:val="center"/>
          </w:tcPr>
          <w:p w14:paraId="65F1C12A">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8</w:t>
            </w:r>
          </w:p>
        </w:tc>
        <w:tc>
          <w:tcPr>
            <w:tcW w:w="954" w:type="dxa"/>
            <w:vAlign w:val="center"/>
          </w:tcPr>
          <w:p w14:paraId="73DA4140">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7</w:t>
            </w:r>
          </w:p>
        </w:tc>
        <w:tc>
          <w:tcPr>
            <w:tcW w:w="919" w:type="dxa"/>
            <w:vAlign w:val="center"/>
          </w:tcPr>
          <w:p w14:paraId="767295F1">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6</w:t>
            </w:r>
          </w:p>
        </w:tc>
        <w:tc>
          <w:tcPr>
            <w:tcW w:w="2626" w:type="dxa"/>
            <w:vMerge w:val="continue"/>
            <w:vAlign w:val="center"/>
          </w:tcPr>
          <w:p w14:paraId="091A4016">
            <w:pPr>
              <w:widowControl/>
              <w:adjustRightInd w:val="0"/>
              <w:snapToGrid w:val="0"/>
              <w:rPr>
                <w:rFonts w:ascii="仿宋" w:hAnsi="仿宋" w:eastAsia="仿宋" w:cs="仿宋_GB2312"/>
                <w:kern w:val="0"/>
                <w:sz w:val="24"/>
              </w:rPr>
            </w:pPr>
          </w:p>
        </w:tc>
      </w:tr>
      <w:tr w14:paraId="6BAABC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030" w:hRule="atLeast"/>
          <w:jc w:val="center"/>
        </w:trPr>
        <w:tc>
          <w:tcPr>
            <w:tcW w:w="3195" w:type="dxa"/>
            <w:vAlign w:val="center"/>
          </w:tcPr>
          <w:p w14:paraId="2A78D5E6">
            <w:pPr>
              <w:widowControl/>
              <w:adjustRightInd w:val="0"/>
              <w:snapToGrid w:val="0"/>
              <w:jc w:val="center"/>
              <w:rPr>
                <w:rFonts w:ascii="仿宋" w:hAnsi="仿宋" w:eastAsia="仿宋" w:cs="仿宋_GB2312"/>
                <w:sz w:val="24"/>
              </w:rPr>
            </w:pPr>
            <w:r>
              <w:rPr>
                <w:rFonts w:hint="eastAsia" w:ascii="仿宋" w:hAnsi="仿宋" w:eastAsia="仿宋" w:cs="仿宋_GB2312"/>
                <w:sz w:val="24"/>
              </w:rPr>
              <w:t>其他T1、T2类竞赛</w:t>
            </w:r>
          </w:p>
        </w:tc>
        <w:tc>
          <w:tcPr>
            <w:tcW w:w="1178" w:type="dxa"/>
            <w:vAlign w:val="center"/>
          </w:tcPr>
          <w:p w14:paraId="41B96FC9">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7</w:t>
            </w:r>
          </w:p>
        </w:tc>
        <w:tc>
          <w:tcPr>
            <w:tcW w:w="954" w:type="dxa"/>
            <w:vAlign w:val="center"/>
          </w:tcPr>
          <w:p w14:paraId="0252E569">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6</w:t>
            </w:r>
          </w:p>
        </w:tc>
        <w:tc>
          <w:tcPr>
            <w:tcW w:w="919" w:type="dxa"/>
            <w:vAlign w:val="center"/>
          </w:tcPr>
          <w:p w14:paraId="30BE4DDC">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5</w:t>
            </w:r>
          </w:p>
        </w:tc>
        <w:tc>
          <w:tcPr>
            <w:tcW w:w="2626" w:type="dxa"/>
            <w:vMerge w:val="continue"/>
            <w:vAlign w:val="center"/>
          </w:tcPr>
          <w:p w14:paraId="77BEEB71">
            <w:pPr>
              <w:widowControl/>
              <w:adjustRightInd w:val="0"/>
              <w:snapToGrid w:val="0"/>
              <w:rPr>
                <w:rFonts w:ascii="仿宋" w:hAnsi="仿宋" w:eastAsia="仿宋" w:cs="仿宋_GB2312"/>
                <w:kern w:val="0"/>
                <w:sz w:val="24"/>
              </w:rPr>
            </w:pPr>
          </w:p>
        </w:tc>
      </w:tr>
      <w:tr w14:paraId="14B501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030" w:hRule="atLeast"/>
          <w:jc w:val="center"/>
        </w:trPr>
        <w:tc>
          <w:tcPr>
            <w:tcW w:w="3195" w:type="dxa"/>
            <w:vAlign w:val="center"/>
          </w:tcPr>
          <w:p w14:paraId="1C23CF9E">
            <w:pPr>
              <w:widowControl/>
              <w:adjustRightInd w:val="0"/>
              <w:snapToGrid w:val="0"/>
              <w:jc w:val="center"/>
              <w:rPr>
                <w:rFonts w:ascii="仿宋" w:hAnsi="仿宋" w:eastAsia="仿宋" w:cs="仿宋_GB2312"/>
                <w:kern w:val="0"/>
                <w:sz w:val="24"/>
              </w:rPr>
            </w:pPr>
            <w:r>
              <w:rPr>
                <w:rFonts w:hint="eastAsia" w:ascii="仿宋" w:hAnsi="仿宋" w:eastAsia="仿宋" w:cs="仿宋_GB2312"/>
                <w:sz w:val="24"/>
              </w:rPr>
              <w:t>“挑战杯”、“挑战杯·创青春”、“互联网+”广东省赛等</w:t>
            </w:r>
            <w:r>
              <w:rPr>
                <w:rFonts w:hint="eastAsia" w:ascii="仿宋" w:hAnsi="仿宋" w:eastAsia="仿宋" w:cs="仿宋_GB2312"/>
                <w:kern w:val="0"/>
                <w:sz w:val="24"/>
              </w:rPr>
              <w:t>A类</w:t>
            </w:r>
          </w:p>
        </w:tc>
        <w:tc>
          <w:tcPr>
            <w:tcW w:w="1178" w:type="dxa"/>
            <w:vAlign w:val="center"/>
          </w:tcPr>
          <w:p w14:paraId="50B420F3">
            <w:pPr>
              <w:widowControl/>
              <w:adjustRightInd w:val="0"/>
              <w:snapToGrid w:val="0"/>
              <w:jc w:val="center"/>
              <w:rPr>
                <w:rFonts w:ascii="仿宋" w:hAnsi="仿宋" w:eastAsia="仿宋" w:cs="仿宋_GB2312"/>
                <w:kern w:val="0"/>
                <w:sz w:val="24"/>
                <w:highlight w:val="yellow"/>
              </w:rPr>
            </w:pPr>
            <w:r>
              <w:rPr>
                <w:rFonts w:hint="eastAsia" w:ascii="仿宋" w:hAnsi="仿宋" w:eastAsia="仿宋" w:cs="仿宋_GB2312"/>
                <w:kern w:val="0"/>
                <w:sz w:val="24"/>
              </w:rPr>
              <w:t>6</w:t>
            </w:r>
          </w:p>
        </w:tc>
        <w:tc>
          <w:tcPr>
            <w:tcW w:w="954" w:type="dxa"/>
            <w:vAlign w:val="center"/>
          </w:tcPr>
          <w:p w14:paraId="09A59EAB">
            <w:pPr>
              <w:widowControl/>
              <w:adjustRightInd w:val="0"/>
              <w:snapToGrid w:val="0"/>
              <w:jc w:val="center"/>
              <w:rPr>
                <w:rFonts w:ascii="仿宋" w:hAnsi="仿宋" w:eastAsia="仿宋" w:cs="仿宋_GB2312"/>
                <w:kern w:val="0"/>
                <w:sz w:val="24"/>
                <w:highlight w:val="yellow"/>
              </w:rPr>
            </w:pPr>
            <w:r>
              <w:rPr>
                <w:rFonts w:hint="eastAsia" w:ascii="仿宋" w:hAnsi="仿宋" w:eastAsia="仿宋" w:cs="仿宋_GB2312"/>
                <w:kern w:val="0"/>
                <w:sz w:val="24"/>
              </w:rPr>
              <w:t>5</w:t>
            </w:r>
          </w:p>
        </w:tc>
        <w:tc>
          <w:tcPr>
            <w:tcW w:w="919" w:type="dxa"/>
            <w:vAlign w:val="center"/>
          </w:tcPr>
          <w:p w14:paraId="2EEC33DE">
            <w:pPr>
              <w:widowControl/>
              <w:adjustRightInd w:val="0"/>
              <w:snapToGrid w:val="0"/>
              <w:jc w:val="center"/>
              <w:rPr>
                <w:rFonts w:ascii="仿宋" w:hAnsi="仿宋" w:eastAsia="仿宋" w:cs="仿宋_GB2312"/>
                <w:kern w:val="0"/>
                <w:sz w:val="24"/>
                <w:highlight w:val="yellow"/>
              </w:rPr>
            </w:pPr>
            <w:r>
              <w:rPr>
                <w:rFonts w:hint="eastAsia" w:ascii="仿宋" w:hAnsi="仿宋" w:eastAsia="仿宋" w:cs="仿宋_GB2312"/>
                <w:kern w:val="0"/>
                <w:sz w:val="24"/>
              </w:rPr>
              <w:t>4</w:t>
            </w:r>
          </w:p>
        </w:tc>
        <w:tc>
          <w:tcPr>
            <w:tcW w:w="2626" w:type="dxa"/>
            <w:vMerge w:val="continue"/>
            <w:vAlign w:val="center"/>
          </w:tcPr>
          <w:p w14:paraId="35347706">
            <w:pPr>
              <w:widowControl/>
              <w:adjustRightInd w:val="0"/>
              <w:snapToGrid w:val="0"/>
              <w:rPr>
                <w:rFonts w:ascii="仿宋" w:hAnsi="仿宋" w:eastAsia="仿宋" w:cs="仿宋_GB2312"/>
                <w:kern w:val="0"/>
                <w:sz w:val="24"/>
              </w:rPr>
            </w:pPr>
          </w:p>
        </w:tc>
      </w:tr>
      <w:tr w14:paraId="2C8365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85" w:hRule="atLeast"/>
          <w:jc w:val="center"/>
        </w:trPr>
        <w:tc>
          <w:tcPr>
            <w:tcW w:w="3195" w:type="dxa"/>
            <w:vAlign w:val="center"/>
          </w:tcPr>
          <w:p w14:paraId="38CABC7C">
            <w:pPr>
              <w:widowControl/>
              <w:adjustRightInd w:val="0"/>
              <w:snapToGrid w:val="0"/>
              <w:jc w:val="center"/>
              <w:rPr>
                <w:rFonts w:ascii="仿宋" w:hAnsi="仿宋" w:eastAsia="仿宋" w:cs="仿宋_GB2312"/>
                <w:sz w:val="24"/>
              </w:rPr>
            </w:pPr>
            <w:r>
              <w:rPr>
                <w:rFonts w:hint="eastAsia" w:ascii="仿宋" w:hAnsi="仿宋" w:eastAsia="仿宋" w:cs="仿宋_GB2312"/>
                <w:kern w:val="0"/>
                <w:sz w:val="24"/>
              </w:rPr>
              <w:t>B类学科</w:t>
            </w:r>
            <w:r>
              <w:rPr>
                <w:rFonts w:hint="eastAsia" w:ascii="仿宋" w:hAnsi="仿宋" w:eastAsia="仿宋" w:cs="仿宋_GB2312"/>
                <w:sz w:val="24"/>
              </w:rPr>
              <w:t>竞赛</w:t>
            </w:r>
          </w:p>
        </w:tc>
        <w:tc>
          <w:tcPr>
            <w:tcW w:w="1178" w:type="dxa"/>
            <w:vAlign w:val="center"/>
          </w:tcPr>
          <w:p w14:paraId="16812A45">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4</w:t>
            </w:r>
          </w:p>
        </w:tc>
        <w:tc>
          <w:tcPr>
            <w:tcW w:w="954" w:type="dxa"/>
            <w:vAlign w:val="center"/>
          </w:tcPr>
          <w:p w14:paraId="11A6E0D4">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3</w:t>
            </w:r>
          </w:p>
        </w:tc>
        <w:tc>
          <w:tcPr>
            <w:tcW w:w="919" w:type="dxa"/>
            <w:vAlign w:val="center"/>
          </w:tcPr>
          <w:p w14:paraId="512267BF">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2</w:t>
            </w:r>
          </w:p>
        </w:tc>
        <w:tc>
          <w:tcPr>
            <w:tcW w:w="2626" w:type="dxa"/>
            <w:vMerge w:val="continue"/>
            <w:vAlign w:val="center"/>
          </w:tcPr>
          <w:p w14:paraId="02E80489">
            <w:pPr>
              <w:widowControl/>
              <w:adjustRightInd w:val="0"/>
              <w:snapToGrid w:val="0"/>
              <w:rPr>
                <w:rFonts w:ascii="仿宋" w:hAnsi="仿宋" w:eastAsia="仿宋" w:cs="仿宋_GB2312"/>
                <w:kern w:val="0"/>
                <w:sz w:val="24"/>
              </w:rPr>
            </w:pPr>
          </w:p>
        </w:tc>
      </w:tr>
      <w:tr w14:paraId="0954E9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89" w:hRule="atLeast"/>
          <w:jc w:val="center"/>
        </w:trPr>
        <w:tc>
          <w:tcPr>
            <w:tcW w:w="3195" w:type="dxa"/>
            <w:vAlign w:val="center"/>
          </w:tcPr>
          <w:p w14:paraId="354926BC">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“丁颖杯”等C类</w:t>
            </w:r>
          </w:p>
        </w:tc>
        <w:tc>
          <w:tcPr>
            <w:tcW w:w="1178" w:type="dxa"/>
            <w:vAlign w:val="center"/>
          </w:tcPr>
          <w:p w14:paraId="6BFE11ED">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2</w:t>
            </w:r>
          </w:p>
        </w:tc>
        <w:tc>
          <w:tcPr>
            <w:tcW w:w="954" w:type="dxa"/>
            <w:vAlign w:val="center"/>
          </w:tcPr>
          <w:p w14:paraId="6AB38F99">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1</w:t>
            </w:r>
          </w:p>
        </w:tc>
        <w:tc>
          <w:tcPr>
            <w:tcW w:w="919" w:type="dxa"/>
            <w:vAlign w:val="center"/>
          </w:tcPr>
          <w:p w14:paraId="22590316">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0.5</w:t>
            </w:r>
          </w:p>
        </w:tc>
        <w:tc>
          <w:tcPr>
            <w:tcW w:w="2626" w:type="dxa"/>
            <w:vMerge w:val="continue"/>
            <w:vAlign w:val="center"/>
          </w:tcPr>
          <w:p w14:paraId="66D532A7">
            <w:pPr>
              <w:widowControl/>
              <w:adjustRightInd w:val="0"/>
              <w:snapToGrid w:val="0"/>
              <w:rPr>
                <w:rFonts w:ascii="仿宋" w:hAnsi="仿宋" w:eastAsia="仿宋" w:cs="仿宋_GB2312"/>
                <w:kern w:val="0"/>
                <w:sz w:val="24"/>
              </w:rPr>
            </w:pPr>
          </w:p>
        </w:tc>
      </w:tr>
    </w:tbl>
    <w:p w14:paraId="7314E918">
      <w:pPr>
        <w:widowControl/>
        <w:adjustRightInd w:val="0"/>
        <w:snapToGrid w:val="0"/>
        <w:spacing w:line="360" w:lineRule="auto"/>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 xml:space="preserve">  </w:t>
      </w:r>
      <w:r>
        <w:rPr>
          <w:rFonts w:ascii="仿宋" w:hAnsi="仿宋" w:eastAsia="仿宋" w:cs="仿宋_GB2312"/>
          <w:color w:val="000000"/>
          <w:kern w:val="0"/>
          <w:sz w:val="28"/>
          <w:szCs w:val="28"/>
        </w:rPr>
        <w:t xml:space="preserve">  </w:t>
      </w:r>
    </w:p>
    <w:p w14:paraId="16A7C386">
      <w:pPr>
        <w:widowControl/>
        <w:adjustRightInd w:val="0"/>
        <w:snapToGrid w:val="0"/>
        <w:spacing w:line="360" w:lineRule="auto"/>
        <w:ind w:firstLine="560" w:firstLineChars="200"/>
        <w:rPr>
          <w:rFonts w:ascii="仿宋" w:hAnsi="仿宋" w:eastAsia="仿宋" w:cs="仿宋_GB2312"/>
          <w:color w:val="000000"/>
          <w:kern w:val="0"/>
          <w:sz w:val="15"/>
          <w:szCs w:val="15"/>
        </w:rPr>
      </w:pPr>
      <w:r>
        <w:rPr>
          <w:rFonts w:hint="eastAsia" w:ascii="仿宋" w:hAnsi="仿宋" w:eastAsia="仿宋" w:cs="仿宋_GB2312"/>
          <w:color w:val="000000"/>
          <w:kern w:val="0"/>
          <w:sz w:val="28"/>
          <w:szCs w:val="28"/>
        </w:rPr>
        <w:t>（2）大学生创新创业项目</w:t>
      </w:r>
    </w:p>
    <w:tbl>
      <w:tblPr>
        <w:tblStyle w:val="10"/>
        <w:tblW w:w="8931"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68"/>
        <w:gridCol w:w="566"/>
        <w:gridCol w:w="1985"/>
        <w:gridCol w:w="713"/>
        <w:gridCol w:w="1050"/>
        <w:gridCol w:w="967"/>
        <w:gridCol w:w="3082"/>
      </w:tblGrid>
      <w:tr w14:paraId="6C8370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68" w:type="dxa"/>
            <w:vMerge w:val="restart"/>
            <w:vAlign w:val="center"/>
          </w:tcPr>
          <w:p w14:paraId="252765F2">
            <w:pPr>
              <w:widowControl/>
              <w:adjustRightInd w:val="0"/>
              <w:snapToGrid w:val="0"/>
              <w:jc w:val="center"/>
              <w:rPr>
                <w:rFonts w:ascii="仿宋" w:hAnsi="仿宋" w:eastAsia="仿宋" w:cs="仿宋_GB2312"/>
                <w:b/>
                <w:bCs/>
                <w:kern w:val="0"/>
                <w:sz w:val="24"/>
              </w:rPr>
            </w:pPr>
            <w:r>
              <w:rPr>
                <w:rFonts w:hint="eastAsia" w:ascii="仿宋" w:hAnsi="仿宋" w:eastAsia="仿宋" w:cs="仿宋_GB2312"/>
                <w:b/>
                <w:bCs/>
                <w:kern w:val="0"/>
                <w:sz w:val="24"/>
              </w:rPr>
              <w:t>科研项目</w:t>
            </w:r>
          </w:p>
        </w:tc>
        <w:tc>
          <w:tcPr>
            <w:tcW w:w="2551" w:type="dxa"/>
            <w:gridSpan w:val="2"/>
            <w:vMerge w:val="restart"/>
            <w:vAlign w:val="center"/>
          </w:tcPr>
          <w:p w14:paraId="7EDED177">
            <w:pPr>
              <w:widowControl/>
              <w:adjustRightInd w:val="0"/>
              <w:snapToGrid w:val="0"/>
              <w:jc w:val="center"/>
              <w:rPr>
                <w:rFonts w:ascii="仿宋" w:hAnsi="仿宋" w:eastAsia="仿宋" w:cs="仿宋_GB2312"/>
                <w:b/>
                <w:bCs/>
                <w:kern w:val="0"/>
                <w:sz w:val="24"/>
              </w:rPr>
            </w:pPr>
            <w:r>
              <w:rPr>
                <w:rFonts w:hint="eastAsia" w:ascii="仿宋" w:hAnsi="仿宋" w:eastAsia="仿宋" w:cs="仿宋_GB2312"/>
                <w:b/>
                <w:bCs/>
                <w:kern w:val="0"/>
                <w:sz w:val="24"/>
              </w:rPr>
              <w:t>级别</w:t>
            </w:r>
          </w:p>
        </w:tc>
        <w:tc>
          <w:tcPr>
            <w:tcW w:w="713" w:type="dxa"/>
            <w:vMerge w:val="restart"/>
            <w:vAlign w:val="center"/>
          </w:tcPr>
          <w:p w14:paraId="5AD5782A">
            <w:pPr>
              <w:widowControl/>
              <w:adjustRightInd w:val="0"/>
              <w:snapToGrid w:val="0"/>
              <w:jc w:val="center"/>
              <w:rPr>
                <w:rFonts w:ascii="仿宋" w:hAnsi="仿宋" w:eastAsia="仿宋" w:cs="仿宋_GB2312"/>
                <w:b/>
                <w:bCs/>
                <w:kern w:val="0"/>
                <w:sz w:val="24"/>
              </w:rPr>
            </w:pPr>
            <w:r>
              <w:rPr>
                <w:rFonts w:hint="eastAsia" w:ascii="仿宋" w:hAnsi="仿宋" w:eastAsia="仿宋" w:cs="仿宋_GB2312"/>
                <w:b/>
                <w:bCs/>
                <w:kern w:val="0"/>
                <w:sz w:val="24"/>
              </w:rPr>
              <w:t>主持</w:t>
            </w:r>
          </w:p>
        </w:tc>
        <w:tc>
          <w:tcPr>
            <w:tcW w:w="2017" w:type="dxa"/>
            <w:gridSpan w:val="2"/>
            <w:vAlign w:val="center"/>
          </w:tcPr>
          <w:p w14:paraId="2D7E1F8F">
            <w:pPr>
              <w:widowControl/>
              <w:adjustRightInd w:val="0"/>
              <w:snapToGrid w:val="0"/>
              <w:spacing w:after="156" w:afterLines="50"/>
              <w:jc w:val="center"/>
              <w:rPr>
                <w:rFonts w:ascii="仿宋" w:hAnsi="仿宋" w:eastAsia="仿宋" w:cs="仿宋_GB2312"/>
                <w:kern w:val="0"/>
                <w:sz w:val="24"/>
              </w:rPr>
            </w:pPr>
            <w:r>
              <w:rPr>
                <w:rFonts w:hint="eastAsia" w:ascii="仿宋" w:hAnsi="仿宋" w:eastAsia="仿宋" w:cs="仿宋_GB2312"/>
                <w:b/>
                <w:bCs/>
                <w:kern w:val="0"/>
                <w:sz w:val="24"/>
              </w:rPr>
              <w:t>参与</w:t>
            </w:r>
          </w:p>
        </w:tc>
        <w:tc>
          <w:tcPr>
            <w:tcW w:w="3082" w:type="dxa"/>
            <w:vMerge w:val="restart"/>
            <w:vAlign w:val="center"/>
          </w:tcPr>
          <w:p w14:paraId="17D8CA5A">
            <w:pPr>
              <w:widowControl/>
              <w:adjustRightInd w:val="0"/>
              <w:snapToGrid w:val="0"/>
              <w:spacing w:after="156" w:afterLines="50"/>
              <w:jc w:val="left"/>
              <w:rPr>
                <w:rFonts w:ascii="仿宋" w:hAnsi="仿宋" w:eastAsia="仿宋" w:cs="仿宋_GB2312"/>
                <w:kern w:val="0"/>
                <w:sz w:val="18"/>
                <w:szCs w:val="18"/>
              </w:rPr>
            </w:pPr>
            <w:r>
              <w:rPr>
                <w:rFonts w:hint="eastAsia" w:ascii="仿宋" w:hAnsi="仿宋" w:eastAsia="仿宋" w:cs="仿宋_GB2312"/>
                <w:kern w:val="0"/>
                <w:sz w:val="18"/>
                <w:szCs w:val="18"/>
              </w:rPr>
              <w:t>1、立项在研项目可加相应级别分数的1/3，在研项目已通过中期考核可加相应级别分数的2/3，项目顺利结题可加相应级别全部分数；</w:t>
            </w:r>
          </w:p>
          <w:p w14:paraId="2E65C757">
            <w:pPr>
              <w:widowControl/>
              <w:adjustRightInd w:val="0"/>
              <w:snapToGrid w:val="0"/>
              <w:spacing w:after="156" w:afterLines="50"/>
              <w:jc w:val="left"/>
              <w:rPr>
                <w:rFonts w:ascii="仿宋" w:hAnsi="仿宋" w:eastAsia="仿宋" w:cs="仿宋_GB2312"/>
                <w:kern w:val="0"/>
                <w:sz w:val="18"/>
                <w:szCs w:val="18"/>
              </w:rPr>
            </w:pPr>
            <w:r>
              <w:rPr>
                <w:rFonts w:hint="eastAsia" w:ascii="仿宋" w:hAnsi="仿宋" w:eastAsia="仿宋" w:cs="仿宋_GB2312"/>
                <w:kern w:val="0"/>
                <w:sz w:val="18"/>
                <w:szCs w:val="18"/>
              </w:rPr>
              <w:t>2、中期考核不合格的、非科研客观情况导致项目延期的不加分；</w:t>
            </w:r>
          </w:p>
          <w:p w14:paraId="4D20EFBD">
            <w:pPr>
              <w:widowControl/>
              <w:adjustRightInd w:val="0"/>
              <w:snapToGrid w:val="0"/>
              <w:spacing w:after="156" w:afterLines="50"/>
              <w:jc w:val="left"/>
              <w:rPr>
                <w:rFonts w:ascii="仿宋" w:hAnsi="仿宋" w:eastAsia="仿宋" w:cs="仿宋_GB2312"/>
                <w:kern w:val="0"/>
                <w:sz w:val="18"/>
                <w:szCs w:val="18"/>
              </w:rPr>
            </w:pPr>
            <w:r>
              <w:rPr>
                <w:rFonts w:hint="eastAsia" w:ascii="仿宋" w:hAnsi="仿宋" w:eastAsia="仿宋" w:cs="仿宋_GB2312"/>
                <w:kern w:val="0"/>
                <w:sz w:val="18"/>
                <w:szCs w:val="18"/>
              </w:rPr>
              <w:t>3、因项目中期变更新加入成员加分相应减半，中期变更退出项目成员不予加分；</w:t>
            </w:r>
          </w:p>
          <w:p w14:paraId="18210CD1">
            <w:pPr>
              <w:widowControl/>
              <w:adjustRightInd w:val="0"/>
              <w:snapToGrid w:val="0"/>
              <w:spacing w:after="156" w:afterLines="50"/>
              <w:jc w:val="left"/>
              <w:rPr>
                <w:rFonts w:ascii="仿宋" w:hAnsi="仿宋" w:eastAsia="仿宋" w:cs="仿宋_GB2312"/>
                <w:kern w:val="0"/>
                <w:sz w:val="18"/>
                <w:szCs w:val="18"/>
              </w:rPr>
            </w:pPr>
            <w:r>
              <w:rPr>
                <w:rFonts w:ascii="仿宋" w:hAnsi="仿宋" w:eastAsia="仿宋" w:cs="仿宋_GB2312"/>
                <w:kern w:val="0"/>
                <w:sz w:val="18"/>
                <w:szCs w:val="18"/>
              </w:rPr>
              <w:t>4</w:t>
            </w:r>
            <w:r>
              <w:rPr>
                <w:rFonts w:hint="eastAsia" w:ascii="仿宋" w:hAnsi="仿宋" w:eastAsia="仿宋" w:cs="仿宋_GB2312"/>
                <w:kern w:val="0"/>
                <w:sz w:val="18"/>
                <w:szCs w:val="18"/>
              </w:rPr>
              <w:t>、项目成员排序原则：已结题项目按结题意见排序为准，未结题项目按系统申报书排序为准；</w:t>
            </w:r>
          </w:p>
          <w:p w14:paraId="785135DC">
            <w:pPr>
              <w:widowControl/>
              <w:adjustRightInd w:val="0"/>
              <w:snapToGrid w:val="0"/>
              <w:jc w:val="left"/>
              <w:rPr>
                <w:rFonts w:ascii="仿宋" w:hAnsi="仿宋" w:eastAsia="仿宋" w:cs="仿宋_GB2312"/>
                <w:kern w:val="0"/>
                <w:sz w:val="18"/>
                <w:szCs w:val="18"/>
              </w:rPr>
            </w:pPr>
            <w:r>
              <w:rPr>
                <w:rFonts w:ascii="仿宋" w:hAnsi="仿宋" w:eastAsia="仿宋" w:cs="仿宋_GB2312"/>
                <w:kern w:val="0"/>
                <w:sz w:val="18"/>
                <w:szCs w:val="18"/>
              </w:rPr>
              <w:t>5</w:t>
            </w:r>
            <w:r>
              <w:rPr>
                <w:rFonts w:hint="eastAsia" w:ascii="仿宋" w:hAnsi="仿宋" w:eastAsia="仿宋" w:cs="仿宋_GB2312"/>
                <w:kern w:val="0"/>
                <w:sz w:val="18"/>
                <w:szCs w:val="18"/>
              </w:rPr>
              <w:t>、主持人和参与人需接受项目指导老师考核和评价，合格及以上方可按相应级别和分数加，如指导老师考核和评价为不合格，取消加分资格。</w:t>
            </w:r>
          </w:p>
          <w:p w14:paraId="47680534">
            <w:pPr>
              <w:widowControl/>
              <w:adjustRightInd w:val="0"/>
              <w:snapToGrid w:val="0"/>
              <w:jc w:val="left"/>
              <w:rPr>
                <w:rFonts w:ascii="仿宋" w:hAnsi="仿宋" w:eastAsia="仿宋" w:cs="仿宋_GB2312"/>
                <w:kern w:val="0"/>
                <w:sz w:val="18"/>
                <w:szCs w:val="18"/>
              </w:rPr>
            </w:pPr>
          </w:p>
          <w:p w14:paraId="50D46945">
            <w:pPr>
              <w:widowControl/>
              <w:adjustRightInd w:val="0"/>
              <w:snapToGrid w:val="0"/>
              <w:jc w:val="left"/>
              <w:rPr>
                <w:rFonts w:ascii="仿宋" w:hAnsi="仿宋" w:eastAsia="仿宋" w:cs="仿宋_GB2312"/>
                <w:kern w:val="0"/>
                <w:sz w:val="18"/>
                <w:szCs w:val="18"/>
              </w:rPr>
            </w:pPr>
            <w:r>
              <w:rPr>
                <w:rFonts w:ascii="仿宋" w:hAnsi="仿宋" w:eastAsia="仿宋" w:cs="仿宋_GB2312"/>
                <w:kern w:val="0"/>
                <w:sz w:val="18"/>
                <w:szCs w:val="18"/>
              </w:rPr>
              <w:t>6</w:t>
            </w:r>
            <w:r>
              <w:rPr>
                <w:rFonts w:hint="eastAsia" w:ascii="仿宋" w:hAnsi="仿宋" w:eastAsia="仿宋" w:cs="仿宋_GB2312"/>
                <w:kern w:val="0"/>
                <w:sz w:val="18"/>
                <w:szCs w:val="18"/>
              </w:rPr>
              <w:t>、校级项目需为华南农业大学立项项目，其他不予认可。</w:t>
            </w:r>
          </w:p>
        </w:tc>
      </w:tr>
      <w:tr w14:paraId="334588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568" w:type="dxa"/>
            <w:vMerge w:val="continue"/>
            <w:vAlign w:val="center"/>
          </w:tcPr>
          <w:p w14:paraId="016D30A7">
            <w:pPr>
              <w:widowControl/>
              <w:adjustRightInd w:val="0"/>
              <w:snapToGrid w:val="0"/>
              <w:jc w:val="center"/>
              <w:rPr>
                <w:rFonts w:ascii="仿宋" w:hAnsi="仿宋" w:eastAsia="仿宋" w:cs="仿宋_GB2312"/>
                <w:b/>
                <w:bCs/>
                <w:kern w:val="0"/>
                <w:sz w:val="24"/>
              </w:rPr>
            </w:pPr>
          </w:p>
        </w:tc>
        <w:tc>
          <w:tcPr>
            <w:tcW w:w="2551" w:type="dxa"/>
            <w:gridSpan w:val="2"/>
            <w:vMerge w:val="continue"/>
            <w:vAlign w:val="center"/>
          </w:tcPr>
          <w:p w14:paraId="72416453">
            <w:pPr>
              <w:widowControl/>
              <w:adjustRightInd w:val="0"/>
              <w:snapToGrid w:val="0"/>
              <w:jc w:val="center"/>
              <w:rPr>
                <w:rFonts w:ascii="仿宋" w:hAnsi="仿宋" w:eastAsia="仿宋" w:cs="仿宋_GB2312"/>
                <w:b/>
                <w:bCs/>
                <w:kern w:val="0"/>
                <w:sz w:val="24"/>
              </w:rPr>
            </w:pPr>
          </w:p>
        </w:tc>
        <w:tc>
          <w:tcPr>
            <w:tcW w:w="713" w:type="dxa"/>
            <w:vMerge w:val="continue"/>
            <w:vAlign w:val="center"/>
          </w:tcPr>
          <w:p w14:paraId="4DCB0C66">
            <w:pPr>
              <w:widowControl/>
              <w:adjustRightInd w:val="0"/>
              <w:snapToGrid w:val="0"/>
              <w:jc w:val="center"/>
              <w:rPr>
                <w:rFonts w:ascii="仿宋" w:hAnsi="仿宋" w:eastAsia="仿宋" w:cs="仿宋_GB2312"/>
                <w:b/>
                <w:bCs/>
                <w:kern w:val="0"/>
                <w:sz w:val="24"/>
              </w:rPr>
            </w:pPr>
          </w:p>
        </w:tc>
        <w:tc>
          <w:tcPr>
            <w:tcW w:w="1050" w:type="dxa"/>
            <w:vAlign w:val="center"/>
          </w:tcPr>
          <w:p w14:paraId="66976FD9">
            <w:pPr>
              <w:widowControl/>
              <w:adjustRightInd w:val="0"/>
              <w:snapToGrid w:val="0"/>
              <w:jc w:val="center"/>
              <w:rPr>
                <w:rFonts w:ascii="仿宋" w:hAnsi="仿宋" w:eastAsia="仿宋" w:cs="仿宋_GB2312"/>
                <w:b/>
                <w:bCs/>
                <w:kern w:val="0"/>
                <w:szCs w:val="21"/>
              </w:rPr>
            </w:pPr>
            <w:r>
              <w:rPr>
                <w:rFonts w:hint="eastAsia" w:ascii="仿宋" w:hAnsi="仿宋" w:eastAsia="仿宋" w:cs="仿宋_GB2312"/>
                <w:b/>
                <w:bCs/>
                <w:kern w:val="0"/>
                <w:szCs w:val="21"/>
              </w:rPr>
              <w:t>排第2、3</w:t>
            </w:r>
          </w:p>
        </w:tc>
        <w:tc>
          <w:tcPr>
            <w:tcW w:w="967" w:type="dxa"/>
          </w:tcPr>
          <w:p w14:paraId="7E4029BB">
            <w:pPr>
              <w:widowControl/>
              <w:adjustRightInd w:val="0"/>
              <w:snapToGrid w:val="0"/>
              <w:spacing w:after="156" w:afterLines="50"/>
              <w:jc w:val="left"/>
              <w:rPr>
                <w:rFonts w:ascii="仿宋" w:hAnsi="仿宋" w:eastAsia="仿宋" w:cs="仿宋_GB2312"/>
                <w:kern w:val="0"/>
                <w:szCs w:val="21"/>
              </w:rPr>
            </w:pPr>
            <w:r>
              <w:rPr>
                <w:rFonts w:hint="eastAsia" w:ascii="仿宋" w:hAnsi="仿宋" w:eastAsia="仿宋" w:cs="仿宋_GB2312"/>
                <w:b/>
                <w:bCs/>
                <w:kern w:val="0"/>
                <w:szCs w:val="21"/>
              </w:rPr>
              <w:t>排第</w:t>
            </w:r>
            <w:r>
              <w:rPr>
                <w:rFonts w:ascii="仿宋" w:hAnsi="仿宋" w:eastAsia="仿宋" w:cs="仿宋_GB2312"/>
                <w:b/>
                <w:bCs/>
                <w:kern w:val="0"/>
                <w:szCs w:val="21"/>
              </w:rPr>
              <w:t>4</w:t>
            </w:r>
            <w:r>
              <w:rPr>
                <w:rFonts w:hint="eastAsia" w:ascii="仿宋" w:hAnsi="仿宋" w:eastAsia="仿宋" w:cs="仿宋_GB2312"/>
                <w:b/>
                <w:bCs/>
                <w:kern w:val="0"/>
                <w:szCs w:val="21"/>
              </w:rPr>
              <w:t>及之后</w:t>
            </w:r>
          </w:p>
        </w:tc>
        <w:tc>
          <w:tcPr>
            <w:tcW w:w="3082" w:type="dxa"/>
            <w:vMerge w:val="continue"/>
            <w:vAlign w:val="center"/>
          </w:tcPr>
          <w:p w14:paraId="109BCF45">
            <w:pPr>
              <w:widowControl/>
              <w:adjustRightInd w:val="0"/>
              <w:snapToGrid w:val="0"/>
              <w:spacing w:after="156" w:afterLines="50"/>
              <w:jc w:val="left"/>
              <w:rPr>
                <w:rFonts w:ascii="仿宋" w:hAnsi="仿宋" w:eastAsia="仿宋" w:cs="仿宋_GB2312"/>
                <w:kern w:val="0"/>
                <w:szCs w:val="21"/>
              </w:rPr>
            </w:pPr>
          </w:p>
        </w:tc>
      </w:tr>
      <w:tr w14:paraId="18087C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68" w:type="dxa"/>
            <w:vMerge w:val="continue"/>
            <w:vAlign w:val="center"/>
          </w:tcPr>
          <w:p w14:paraId="24EFD4E4">
            <w:pPr>
              <w:widowControl/>
              <w:adjustRightInd w:val="0"/>
              <w:snapToGrid w:val="0"/>
              <w:jc w:val="center"/>
              <w:rPr>
                <w:rFonts w:ascii="仿宋" w:hAnsi="仿宋" w:eastAsia="仿宋" w:cs="仿宋_GB2312"/>
                <w:kern w:val="0"/>
                <w:sz w:val="24"/>
              </w:rPr>
            </w:pPr>
          </w:p>
        </w:tc>
        <w:tc>
          <w:tcPr>
            <w:tcW w:w="2551" w:type="dxa"/>
            <w:gridSpan w:val="2"/>
            <w:vAlign w:val="center"/>
          </w:tcPr>
          <w:p w14:paraId="1AE38C6B">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广东大学生科技创新培育专项（攀登计划）</w:t>
            </w:r>
          </w:p>
        </w:tc>
        <w:tc>
          <w:tcPr>
            <w:tcW w:w="713" w:type="dxa"/>
            <w:vAlign w:val="center"/>
          </w:tcPr>
          <w:p w14:paraId="6077D99D">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4</w:t>
            </w:r>
          </w:p>
        </w:tc>
        <w:tc>
          <w:tcPr>
            <w:tcW w:w="1050" w:type="dxa"/>
            <w:vAlign w:val="center"/>
          </w:tcPr>
          <w:p w14:paraId="067516DC">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2</w:t>
            </w:r>
          </w:p>
        </w:tc>
        <w:tc>
          <w:tcPr>
            <w:tcW w:w="967" w:type="dxa"/>
            <w:vAlign w:val="center"/>
          </w:tcPr>
          <w:p w14:paraId="6F6BC31D">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1</w:t>
            </w:r>
          </w:p>
        </w:tc>
        <w:tc>
          <w:tcPr>
            <w:tcW w:w="3082" w:type="dxa"/>
            <w:vMerge w:val="continue"/>
            <w:vAlign w:val="center"/>
          </w:tcPr>
          <w:p w14:paraId="6F4E86D1">
            <w:pPr>
              <w:widowControl/>
              <w:adjustRightInd w:val="0"/>
              <w:snapToGrid w:val="0"/>
              <w:jc w:val="center"/>
              <w:rPr>
                <w:rFonts w:ascii="仿宋" w:hAnsi="仿宋" w:eastAsia="仿宋" w:cs="仿宋_GB2312"/>
                <w:kern w:val="0"/>
                <w:sz w:val="28"/>
                <w:szCs w:val="28"/>
              </w:rPr>
            </w:pPr>
          </w:p>
        </w:tc>
      </w:tr>
      <w:tr w14:paraId="3C858D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07" w:hRule="atLeast"/>
          <w:jc w:val="center"/>
        </w:trPr>
        <w:tc>
          <w:tcPr>
            <w:tcW w:w="568" w:type="dxa"/>
            <w:vMerge w:val="continue"/>
            <w:vAlign w:val="center"/>
          </w:tcPr>
          <w:p w14:paraId="694728A4">
            <w:pPr>
              <w:widowControl/>
              <w:adjustRightInd w:val="0"/>
              <w:snapToGrid w:val="0"/>
              <w:jc w:val="center"/>
              <w:rPr>
                <w:rFonts w:ascii="仿宋" w:hAnsi="仿宋" w:eastAsia="仿宋" w:cs="仿宋_GB2312"/>
                <w:kern w:val="0"/>
                <w:sz w:val="24"/>
              </w:rPr>
            </w:pPr>
          </w:p>
        </w:tc>
        <w:tc>
          <w:tcPr>
            <w:tcW w:w="566" w:type="dxa"/>
            <w:vMerge w:val="restart"/>
            <w:vAlign w:val="center"/>
          </w:tcPr>
          <w:p w14:paraId="6234285C">
            <w:pPr>
              <w:widowControl/>
              <w:adjustRightInd w:val="0"/>
              <w:snapToGrid w:val="0"/>
              <w:jc w:val="left"/>
              <w:rPr>
                <w:rFonts w:ascii="仿宋" w:hAnsi="仿宋" w:eastAsia="仿宋" w:cs="仿宋_GB2312"/>
                <w:kern w:val="0"/>
                <w:sz w:val="24"/>
              </w:rPr>
            </w:pPr>
            <w:r>
              <w:rPr>
                <w:rFonts w:hint="eastAsia" w:ascii="仿宋" w:hAnsi="仿宋" w:eastAsia="仿宋" w:cs="仿宋_GB2312"/>
                <w:kern w:val="0"/>
                <w:sz w:val="24"/>
              </w:rPr>
              <w:t>大创</w:t>
            </w:r>
          </w:p>
        </w:tc>
        <w:tc>
          <w:tcPr>
            <w:tcW w:w="1985" w:type="dxa"/>
            <w:vAlign w:val="center"/>
          </w:tcPr>
          <w:p w14:paraId="55786D93">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国家级</w:t>
            </w:r>
          </w:p>
        </w:tc>
        <w:tc>
          <w:tcPr>
            <w:tcW w:w="713" w:type="dxa"/>
            <w:vAlign w:val="center"/>
          </w:tcPr>
          <w:p w14:paraId="48C4E392">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3</w:t>
            </w:r>
          </w:p>
        </w:tc>
        <w:tc>
          <w:tcPr>
            <w:tcW w:w="1050" w:type="dxa"/>
            <w:vAlign w:val="center"/>
          </w:tcPr>
          <w:p w14:paraId="17730D50">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1.5</w:t>
            </w:r>
          </w:p>
        </w:tc>
        <w:tc>
          <w:tcPr>
            <w:tcW w:w="967" w:type="dxa"/>
            <w:vAlign w:val="center"/>
          </w:tcPr>
          <w:p w14:paraId="022DF452">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0.75</w:t>
            </w:r>
          </w:p>
        </w:tc>
        <w:tc>
          <w:tcPr>
            <w:tcW w:w="3082" w:type="dxa"/>
            <w:vMerge w:val="continue"/>
            <w:vAlign w:val="center"/>
          </w:tcPr>
          <w:p w14:paraId="6C83323F">
            <w:pPr>
              <w:widowControl/>
              <w:adjustRightInd w:val="0"/>
              <w:snapToGrid w:val="0"/>
              <w:jc w:val="center"/>
              <w:rPr>
                <w:rFonts w:ascii="仿宋" w:hAnsi="仿宋" w:eastAsia="仿宋" w:cs="仿宋_GB2312"/>
                <w:kern w:val="0"/>
                <w:sz w:val="28"/>
                <w:szCs w:val="28"/>
              </w:rPr>
            </w:pPr>
          </w:p>
        </w:tc>
      </w:tr>
      <w:tr w14:paraId="7F73E0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5" w:hRule="atLeast"/>
          <w:jc w:val="center"/>
        </w:trPr>
        <w:tc>
          <w:tcPr>
            <w:tcW w:w="568" w:type="dxa"/>
            <w:vMerge w:val="continue"/>
            <w:vAlign w:val="center"/>
          </w:tcPr>
          <w:p w14:paraId="549BDB60">
            <w:pPr>
              <w:widowControl/>
              <w:adjustRightInd w:val="0"/>
              <w:snapToGrid w:val="0"/>
              <w:jc w:val="center"/>
              <w:rPr>
                <w:rFonts w:ascii="仿宋" w:hAnsi="仿宋" w:eastAsia="仿宋" w:cs="仿宋_GB2312"/>
                <w:kern w:val="0"/>
                <w:sz w:val="24"/>
              </w:rPr>
            </w:pPr>
          </w:p>
        </w:tc>
        <w:tc>
          <w:tcPr>
            <w:tcW w:w="566" w:type="dxa"/>
            <w:vMerge w:val="continue"/>
            <w:vAlign w:val="center"/>
          </w:tcPr>
          <w:p w14:paraId="14F363AB">
            <w:pPr>
              <w:widowControl/>
              <w:adjustRightInd w:val="0"/>
              <w:snapToGrid w:val="0"/>
              <w:jc w:val="center"/>
              <w:rPr>
                <w:rFonts w:ascii="仿宋" w:hAnsi="仿宋" w:eastAsia="仿宋" w:cs="仿宋_GB2312"/>
                <w:kern w:val="0"/>
                <w:sz w:val="24"/>
              </w:rPr>
            </w:pPr>
          </w:p>
        </w:tc>
        <w:tc>
          <w:tcPr>
            <w:tcW w:w="1985" w:type="dxa"/>
            <w:vAlign w:val="center"/>
          </w:tcPr>
          <w:p w14:paraId="791BF4B1">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省级</w:t>
            </w:r>
          </w:p>
        </w:tc>
        <w:tc>
          <w:tcPr>
            <w:tcW w:w="713" w:type="dxa"/>
            <w:vAlign w:val="center"/>
          </w:tcPr>
          <w:p w14:paraId="211EE06A">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2</w:t>
            </w:r>
          </w:p>
        </w:tc>
        <w:tc>
          <w:tcPr>
            <w:tcW w:w="1050" w:type="dxa"/>
            <w:vAlign w:val="center"/>
          </w:tcPr>
          <w:p w14:paraId="45C47029">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1</w:t>
            </w:r>
          </w:p>
        </w:tc>
        <w:tc>
          <w:tcPr>
            <w:tcW w:w="967" w:type="dxa"/>
            <w:vAlign w:val="center"/>
          </w:tcPr>
          <w:p w14:paraId="246A3AE5">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0</w:t>
            </w:r>
            <w:r>
              <w:rPr>
                <w:rFonts w:ascii="仿宋" w:hAnsi="仿宋" w:eastAsia="仿宋" w:cs="仿宋_GB2312"/>
                <w:kern w:val="0"/>
                <w:sz w:val="24"/>
              </w:rPr>
              <w:t>.</w:t>
            </w:r>
            <w:r>
              <w:rPr>
                <w:rFonts w:hint="eastAsia" w:ascii="仿宋" w:hAnsi="仿宋" w:eastAsia="仿宋" w:cs="仿宋_GB2312"/>
                <w:kern w:val="0"/>
                <w:sz w:val="24"/>
              </w:rPr>
              <w:t>5</w:t>
            </w:r>
          </w:p>
        </w:tc>
        <w:tc>
          <w:tcPr>
            <w:tcW w:w="3082" w:type="dxa"/>
            <w:vMerge w:val="continue"/>
            <w:vAlign w:val="center"/>
          </w:tcPr>
          <w:p w14:paraId="2874D0CE">
            <w:pPr>
              <w:widowControl/>
              <w:adjustRightInd w:val="0"/>
              <w:snapToGrid w:val="0"/>
              <w:jc w:val="center"/>
              <w:rPr>
                <w:rFonts w:ascii="仿宋" w:hAnsi="仿宋" w:eastAsia="仿宋" w:cs="仿宋_GB2312"/>
                <w:kern w:val="0"/>
                <w:sz w:val="28"/>
                <w:szCs w:val="28"/>
              </w:rPr>
            </w:pPr>
          </w:p>
        </w:tc>
      </w:tr>
      <w:tr w14:paraId="0EE19B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03" w:hRule="atLeast"/>
          <w:jc w:val="center"/>
        </w:trPr>
        <w:tc>
          <w:tcPr>
            <w:tcW w:w="568" w:type="dxa"/>
            <w:vMerge w:val="continue"/>
            <w:vAlign w:val="center"/>
          </w:tcPr>
          <w:p w14:paraId="5FE3C2CF">
            <w:pPr>
              <w:widowControl/>
              <w:adjustRightInd w:val="0"/>
              <w:snapToGrid w:val="0"/>
              <w:jc w:val="center"/>
              <w:rPr>
                <w:rFonts w:ascii="仿宋" w:hAnsi="仿宋" w:eastAsia="仿宋" w:cs="仿宋_GB2312"/>
                <w:kern w:val="0"/>
                <w:sz w:val="24"/>
              </w:rPr>
            </w:pPr>
          </w:p>
        </w:tc>
        <w:tc>
          <w:tcPr>
            <w:tcW w:w="566" w:type="dxa"/>
            <w:vMerge w:val="continue"/>
            <w:vAlign w:val="center"/>
          </w:tcPr>
          <w:p w14:paraId="47774648">
            <w:pPr>
              <w:widowControl/>
              <w:adjustRightInd w:val="0"/>
              <w:snapToGrid w:val="0"/>
              <w:jc w:val="center"/>
              <w:rPr>
                <w:rFonts w:ascii="仿宋" w:hAnsi="仿宋" w:eastAsia="仿宋" w:cs="仿宋_GB2312"/>
                <w:kern w:val="0"/>
                <w:sz w:val="24"/>
              </w:rPr>
            </w:pPr>
          </w:p>
        </w:tc>
        <w:tc>
          <w:tcPr>
            <w:tcW w:w="1985" w:type="dxa"/>
            <w:vAlign w:val="center"/>
          </w:tcPr>
          <w:p w14:paraId="4F75CF63">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校级</w:t>
            </w:r>
          </w:p>
        </w:tc>
        <w:tc>
          <w:tcPr>
            <w:tcW w:w="713" w:type="dxa"/>
            <w:vAlign w:val="center"/>
          </w:tcPr>
          <w:p w14:paraId="3DD8BF18">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1</w:t>
            </w:r>
          </w:p>
        </w:tc>
        <w:tc>
          <w:tcPr>
            <w:tcW w:w="1050" w:type="dxa"/>
            <w:vAlign w:val="center"/>
          </w:tcPr>
          <w:p w14:paraId="5B19D61C">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0.5</w:t>
            </w:r>
          </w:p>
        </w:tc>
        <w:tc>
          <w:tcPr>
            <w:tcW w:w="967" w:type="dxa"/>
            <w:vAlign w:val="center"/>
          </w:tcPr>
          <w:p w14:paraId="04E9108F">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0</w:t>
            </w:r>
            <w:r>
              <w:rPr>
                <w:rFonts w:ascii="仿宋" w:hAnsi="仿宋" w:eastAsia="仿宋" w:cs="仿宋_GB2312"/>
                <w:kern w:val="0"/>
                <w:sz w:val="24"/>
              </w:rPr>
              <w:t>.</w:t>
            </w:r>
            <w:r>
              <w:rPr>
                <w:rFonts w:hint="eastAsia" w:ascii="仿宋" w:hAnsi="仿宋" w:eastAsia="仿宋" w:cs="仿宋_GB2312"/>
                <w:kern w:val="0"/>
                <w:sz w:val="24"/>
              </w:rPr>
              <w:t>25</w:t>
            </w:r>
          </w:p>
        </w:tc>
        <w:tc>
          <w:tcPr>
            <w:tcW w:w="3082" w:type="dxa"/>
            <w:vMerge w:val="continue"/>
            <w:vAlign w:val="center"/>
          </w:tcPr>
          <w:p w14:paraId="01BC8AA8">
            <w:pPr>
              <w:widowControl/>
              <w:adjustRightInd w:val="0"/>
              <w:snapToGrid w:val="0"/>
              <w:jc w:val="center"/>
              <w:rPr>
                <w:rFonts w:ascii="仿宋" w:hAnsi="仿宋" w:eastAsia="仿宋" w:cs="仿宋_GB2312"/>
                <w:kern w:val="0"/>
                <w:sz w:val="28"/>
                <w:szCs w:val="28"/>
              </w:rPr>
            </w:pPr>
          </w:p>
        </w:tc>
      </w:tr>
      <w:tr w14:paraId="45CF20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42" w:hRule="atLeast"/>
          <w:jc w:val="center"/>
        </w:trPr>
        <w:tc>
          <w:tcPr>
            <w:tcW w:w="568" w:type="dxa"/>
            <w:vMerge w:val="continue"/>
            <w:vAlign w:val="center"/>
          </w:tcPr>
          <w:p w14:paraId="7249748A">
            <w:pPr>
              <w:widowControl/>
              <w:adjustRightInd w:val="0"/>
              <w:snapToGrid w:val="0"/>
              <w:jc w:val="center"/>
              <w:rPr>
                <w:rFonts w:ascii="仿宋" w:hAnsi="仿宋" w:eastAsia="仿宋" w:cs="仿宋_GB2312"/>
                <w:kern w:val="0"/>
                <w:sz w:val="24"/>
              </w:rPr>
            </w:pPr>
          </w:p>
        </w:tc>
        <w:tc>
          <w:tcPr>
            <w:tcW w:w="2551" w:type="dxa"/>
            <w:gridSpan w:val="2"/>
            <w:vAlign w:val="center"/>
          </w:tcPr>
          <w:p w14:paraId="7008EE03">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学校“创新梦工场”大学生创新引领计划</w:t>
            </w:r>
          </w:p>
        </w:tc>
        <w:tc>
          <w:tcPr>
            <w:tcW w:w="713" w:type="dxa"/>
            <w:vAlign w:val="center"/>
          </w:tcPr>
          <w:p w14:paraId="193CE6AD">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1</w:t>
            </w:r>
          </w:p>
        </w:tc>
        <w:tc>
          <w:tcPr>
            <w:tcW w:w="1050" w:type="dxa"/>
            <w:vAlign w:val="center"/>
          </w:tcPr>
          <w:p w14:paraId="4FFFE3F4">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0.5</w:t>
            </w:r>
          </w:p>
        </w:tc>
        <w:tc>
          <w:tcPr>
            <w:tcW w:w="967" w:type="dxa"/>
            <w:vAlign w:val="center"/>
          </w:tcPr>
          <w:p w14:paraId="12F0F6BC">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0</w:t>
            </w:r>
            <w:r>
              <w:rPr>
                <w:rFonts w:ascii="仿宋" w:hAnsi="仿宋" w:eastAsia="仿宋" w:cs="仿宋_GB2312"/>
                <w:kern w:val="0"/>
                <w:sz w:val="24"/>
              </w:rPr>
              <w:t>.</w:t>
            </w:r>
            <w:r>
              <w:rPr>
                <w:rFonts w:hint="eastAsia" w:ascii="仿宋" w:hAnsi="仿宋" w:eastAsia="仿宋" w:cs="仿宋_GB2312"/>
                <w:kern w:val="0"/>
                <w:sz w:val="24"/>
              </w:rPr>
              <w:t>25</w:t>
            </w:r>
          </w:p>
        </w:tc>
        <w:tc>
          <w:tcPr>
            <w:tcW w:w="3082" w:type="dxa"/>
            <w:vMerge w:val="continue"/>
            <w:vAlign w:val="center"/>
          </w:tcPr>
          <w:p w14:paraId="7A698311">
            <w:pPr>
              <w:widowControl/>
              <w:adjustRightInd w:val="0"/>
              <w:snapToGrid w:val="0"/>
              <w:jc w:val="center"/>
              <w:rPr>
                <w:rFonts w:ascii="仿宋" w:hAnsi="仿宋" w:eastAsia="仿宋" w:cs="仿宋_GB2312"/>
                <w:kern w:val="0"/>
                <w:sz w:val="28"/>
                <w:szCs w:val="28"/>
              </w:rPr>
            </w:pPr>
          </w:p>
        </w:tc>
      </w:tr>
    </w:tbl>
    <w:p w14:paraId="7338A7F9">
      <w:pPr>
        <w:widowControl/>
        <w:adjustRightInd w:val="0"/>
        <w:snapToGrid w:val="0"/>
        <w:spacing w:line="360" w:lineRule="auto"/>
        <w:ind w:firstLine="560" w:firstLineChars="200"/>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3</w:t>
      </w:r>
      <w:r>
        <w:rPr>
          <w:rFonts w:ascii="仿宋" w:hAnsi="仿宋" w:eastAsia="仿宋" w:cs="仿宋_GB2312"/>
          <w:color w:val="000000"/>
          <w:kern w:val="0"/>
          <w:sz w:val="28"/>
          <w:szCs w:val="28"/>
        </w:rPr>
        <w:t>.</w:t>
      </w:r>
      <w:r>
        <w:rPr>
          <w:rFonts w:hint="eastAsia" w:ascii="仿宋" w:hAnsi="仿宋" w:eastAsia="仿宋" w:cs="仿宋_GB2312"/>
          <w:color w:val="000000"/>
          <w:kern w:val="0"/>
          <w:sz w:val="28"/>
          <w:szCs w:val="28"/>
        </w:rPr>
        <w:t>知识产权</w:t>
      </w:r>
    </w:p>
    <w:p w14:paraId="2F280640">
      <w:pPr>
        <w:widowControl/>
        <w:adjustRightInd w:val="0"/>
        <w:snapToGrid w:val="0"/>
        <w:spacing w:line="360" w:lineRule="auto"/>
        <w:ind w:firstLine="560" w:firstLineChars="200"/>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本人作为主要完成人、华南农业大学为第一或独立产权单位获得授权的与学业相关的知识产权，包括获得国内授权的专利、软件著作权、植物新品种权，以及通过审定(认定、登记)的农作物新品种、动物新品种和微生物新品种等。</w:t>
      </w:r>
    </w:p>
    <w:tbl>
      <w:tblPr>
        <w:tblStyle w:val="10"/>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3243"/>
        <w:gridCol w:w="867"/>
        <w:gridCol w:w="851"/>
        <w:gridCol w:w="851"/>
        <w:gridCol w:w="2870"/>
      </w:tblGrid>
      <w:tr w14:paraId="1547AD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3243" w:type="dxa"/>
            <w:vMerge w:val="restart"/>
            <w:vAlign w:val="center"/>
          </w:tcPr>
          <w:p w14:paraId="0EFD473D">
            <w:pPr>
              <w:widowControl/>
              <w:adjustRightInd w:val="0"/>
              <w:snapToGrid w:val="0"/>
              <w:jc w:val="center"/>
              <w:rPr>
                <w:rFonts w:ascii="仿宋" w:hAnsi="仿宋" w:eastAsia="仿宋" w:cs="仿宋_GB2312"/>
                <w:b/>
                <w:bCs/>
                <w:kern w:val="0"/>
                <w:sz w:val="24"/>
              </w:rPr>
            </w:pPr>
            <w:r>
              <w:rPr>
                <w:rFonts w:hint="eastAsia" w:ascii="仿宋" w:hAnsi="仿宋" w:eastAsia="仿宋" w:cs="仿宋_GB2312"/>
                <w:b/>
                <w:bCs/>
                <w:kern w:val="0"/>
                <w:sz w:val="24"/>
              </w:rPr>
              <w:t>类型</w:t>
            </w:r>
          </w:p>
        </w:tc>
        <w:tc>
          <w:tcPr>
            <w:tcW w:w="2569" w:type="dxa"/>
            <w:gridSpan w:val="3"/>
            <w:vAlign w:val="center"/>
          </w:tcPr>
          <w:p w14:paraId="64753D01">
            <w:pPr>
              <w:widowControl/>
              <w:adjustRightInd w:val="0"/>
              <w:snapToGrid w:val="0"/>
              <w:jc w:val="center"/>
              <w:rPr>
                <w:rFonts w:ascii="仿宋" w:hAnsi="仿宋" w:eastAsia="仿宋" w:cs="仿宋_GB2312"/>
                <w:b/>
                <w:bCs/>
                <w:kern w:val="0"/>
                <w:sz w:val="24"/>
              </w:rPr>
            </w:pPr>
            <w:r>
              <w:rPr>
                <w:rFonts w:hint="eastAsia" w:ascii="仿宋" w:hAnsi="仿宋" w:eastAsia="仿宋" w:cs="仿宋_GB2312"/>
                <w:b/>
                <w:bCs/>
                <w:kern w:val="0"/>
                <w:sz w:val="24"/>
              </w:rPr>
              <w:t>除第一指导老师外的排名</w:t>
            </w:r>
          </w:p>
        </w:tc>
        <w:tc>
          <w:tcPr>
            <w:tcW w:w="2870" w:type="dxa"/>
            <w:vMerge w:val="restart"/>
            <w:vAlign w:val="center"/>
          </w:tcPr>
          <w:p w14:paraId="0C30B15F">
            <w:pPr>
              <w:adjustRightInd w:val="0"/>
              <w:snapToGrid w:val="0"/>
              <w:rPr>
                <w:rFonts w:ascii="仿宋" w:hAnsi="仿宋" w:eastAsia="仿宋" w:cs="仿宋_GB2312"/>
                <w:kern w:val="0"/>
                <w:szCs w:val="21"/>
              </w:rPr>
            </w:pPr>
            <w:r>
              <w:rPr>
                <w:rFonts w:hint="eastAsia" w:ascii="仿宋" w:hAnsi="仿宋" w:eastAsia="仿宋" w:cs="仿宋_GB2312"/>
                <w:kern w:val="0"/>
                <w:szCs w:val="21"/>
              </w:rPr>
              <w:t>1、所获得的专利必须</w:t>
            </w:r>
            <w:r>
              <w:rPr>
                <w:rFonts w:hint="eastAsia" w:ascii="仿宋" w:hAnsi="仿宋" w:eastAsia="仿宋" w:cs="仿宋_GB2312"/>
                <w:b/>
                <w:bCs/>
                <w:kern w:val="0"/>
                <w:szCs w:val="21"/>
              </w:rPr>
              <w:t>与本专业相关</w:t>
            </w:r>
            <w:r>
              <w:rPr>
                <w:rFonts w:hint="eastAsia" w:ascii="仿宋" w:hAnsi="仿宋" w:eastAsia="仿宋" w:cs="仿宋_GB2312"/>
                <w:kern w:val="0"/>
                <w:szCs w:val="21"/>
              </w:rPr>
              <w:t>，其他不予加分；</w:t>
            </w:r>
          </w:p>
          <w:p w14:paraId="026439E5">
            <w:pPr>
              <w:adjustRightInd w:val="0"/>
              <w:snapToGrid w:val="0"/>
              <w:rPr>
                <w:rFonts w:ascii="仿宋" w:hAnsi="仿宋" w:eastAsia="仿宋" w:cs="仿宋_GB2312"/>
                <w:kern w:val="0"/>
                <w:szCs w:val="21"/>
              </w:rPr>
            </w:pPr>
            <w:r>
              <w:rPr>
                <w:rFonts w:hint="eastAsia" w:ascii="仿宋" w:hAnsi="仿宋" w:eastAsia="仿宋" w:cs="仿宋_GB2312"/>
                <w:kern w:val="0"/>
                <w:szCs w:val="21"/>
              </w:rPr>
              <w:t>2、文件以外的</w:t>
            </w:r>
            <w:r>
              <w:rPr>
                <w:rFonts w:hint="eastAsia" w:ascii="仿宋" w:hAnsi="仿宋" w:eastAsia="仿宋" w:cs="仿宋_GB2312"/>
                <w:b/>
                <w:bCs/>
                <w:kern w:val="0"/>
                <w:szCs w:val="21"/>
              </w:rPr>
              <w:t>与专业相关</w:t>
            </w:r>
            <w:r>
              <w:rPr>
                <w:rFonts w:hint="eastAsia" w:ascii="仿宋" w:hAnsi="仿宋" w:eastAsia="仿宋" w:cs="仿宋_GB2312"/>
                <w:kern w:val="0"/>
                <w:szCs w:val="21"/>
              </w:rPr>
              <w:t>的其他科研成果可以提出书面申请，由学院遴选工作小组组织专家小组审核确定</w:t>
            </w:r>
          </w:p>
        </w:tc>
      </w:tr>
      <w:tr w14:paraId="4C55FA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3243" w:type="dxa"/>
            <w:vMerge w:val="continue"/>
            <w:vAlign w:val="center"/>
          </w:tcPr>
          <w:p w14:paraId="02A3A654">
            <w:pPr>
              <w:widowControl/>
              <w:adjustRightInd w:val="0"/>
              <w:snapToGrid w:val="0"/>
              <w:jc w:val="center"/>
              <w:rPr>
                <w:rFonts w:ascii="仿宋" w:hAnsi="仿宋" w:eastAsia="仿宋" w:cs="仿宋_GB2312"/>
                <w:kern w:val="0"/>
                <w:sz w:val="24"/>
              </w:rPr>
            </w:pPr>
          </w:p>
        </w:tc>
        <w:tc>
          <w:tcPr>
            <w:tcW w:w="867" w:type="dxa"/>
            <w:vAlign w:val="center"/>
          </w:tcPr>
          <w:p w14:paraId="66497A4B">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1</w:t>
            </w:r>
          </w:p>
        </w:tc>
        <w:tc>
          <w:tcPr>
            <w:tcW w:w="851" w:type="dxa"/>
            <w:vAlign w:val="center"/>
          </w:tcPr>
          <w:p w14:paraId="60D814CF">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2</w:t>
            </w:r>
          </w:p>
        </w:tc>
        <w:tc>
          <w:tcPr>
            <w:tcW w:w="851" w:type="dxa"/>
            <w:vAlign w:val="center"/>
          </w:tcPr>
          <w:p w14:paraId="1092C89B">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3</w:t>
            </w:r>
          </w:p>
        </w:tc>
        <w:tc>
          <w:tcPr>
            <w:tcW w:w="2870" w:type="dxa"/>
            <w:vMerge w:val="continue"/>
            <w:vAlign w:val="center"/>
          </w:tcPr>
          <w:p w14:paraId="5B70183C">
            <w:pPr>
              <w:adjustRightInd w:val="0"/>
              <w:snapToGrid w:val="0"/>
              <w:rPr>
                <w:rFonts w:ascii="仿宋" w:hAnsi="仿宋" w:eastAsia="仿宋" w:cs="仿宋_GB2312"/>
                <w:kern w:val="0"/>
                <w:sz w:val="28"/>
                <w:szCs w:val="28"/>
              </w:rPr>
            </w:pPr>
          </w:p>
        </w:tc>
      </w:tr>
      <w:tr w14:paraId="2CD334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3243" w:type="dxa"/>
            <w:vAlign w:val="center"/>
          </w:tcPr>
          <w:p w14:paraId="2E440D05">
            <w:pPr>
              <w:widowControl/>
              <w:adjustRightInd w:val="0"/>
              <w:snapToGrid w:val="0"/>
              <w:ind w:left="-27" w:leftChars="-13"/>
              <w:jc w:val="center"/>
              <w:rPr>
                <w:rFonts w:ascii="仿宋" w:hAnsi="仿宋" w:eastAsia="仿宋" w:cs="仿宋_GB2312"/>
                <w:kern w:val="0"/>
                <w:sz w:val="24"/>
              </w:rPr>
            </w:pPr>
            <w:r>
              <w:rPr>
                <w:rFonts w:hint="eastAsia" w:ascii="仿宋" w:hAnsi="仿宋" w:eastAsia="仿宋" w:cs="仿宋_GB2312"/>
                <w:kern w:val="0"/>
                <w:sz w:val="24"/>
              </w:rPr>
              <w:t>发明专利已授权</w:t>
            </w:r>
          </w:p>
        </w:tc>
        <w:tc>
          <w:tcPr>
            <w:tcW w:w="867" w:type="dxa"/>
            <w:vAlign w:val="center"/>
          </w:tcPr>
          <w:p w14:paraId="33EE9DF2">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4</w:t>
            </w:r>
          </w:p>
        </w:tc>
        <w:tc>
          <w:tcPr>
            <w:tcW w:w="851" w:type="dxa"/>
            <w:vAlign w:val="center"/>
          </w:tcPr>
          <w:p w14:paraId="06AAE46B">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2</w:t>
            </w:r>
          </w:p>
        </w:tc>
        <w:tc>
          <w:tcPr>
            <w:tcW w:w="851" w:type="dxa"/>
            <w:vAlign w:val="center"/>
          </w:tcPr>
          <w:p w14:paraId="6282AD4F">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1</w:t>
            </w:r>
          </w:p>
        </w:tc>
        <w:tc>
          <w:tcPr>
            <w:tcW w:w="2870" w:type="dxa"/>
            <w:vMerge w:val="continue"/>
            <w:vAlign w:val="center"/>
          </w:tcPr>
          <w:p w14:paraId="3BFB19DA">
            <w:pPr>
              <w:widowControl/>
              <w:adjustRightInd w:val="0"/>
              <w:snapToGrid w:val="0"/>
              <w:rPr>
                <w:rFonts w:ascii="仿宋" w:hAnsi="仿宋" w:eastAsia="仿宋" w:cs="仿宋_GB2312"/>
                <w:kern w:val="0"/>
                <w:sz w:val="28"/>
                <w:szCs w:val="28"/>
              </w:rPr>
            </w:pPr>
          </w:p>
        </w:tc>
      </w:tr>
      <w:tr w14:paraId="160B62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3243" w:type="dxa"/>
            <w:vAlign w:val="center"/>
          </w:tcPr>
          <w:p w14:paraId="71345ADD">
            <w:pPr>
              <w:widowControl/>
              <w:adjustRightInd w:val="0"/>
              <w:snapToGrid w:val="0"/>
              <w:ind w:left="-27" w:leftChars="-13"/>
              <w:jc w:val="center"/>
              <w:rPr>
                <w:rFonts w:ascii="仿宋" w:hAnsi="仿宋" w:eastAsia="仿宋" w:cs="仿宋_GB2312"/>
                <w:kern w:val="0"/>
                <w:sz w:val="24"/>
              </w:rPr>
            </w:pPr>
            <w:r>
              <w:rPr>
                <w:rFonts w:hint="eastAsia" w:ascii="仿宋" w:hAnsi="仿宋" w:eastAsia="仿宋" w:cs="仿宋_GB2312"/>
                <w:kern w:val="0"/>
                <w:sz w:val="24"/>
              </w:rPr>
              <w:t>实用新型专利已授权</w:t>
            </w:r>
          </w:p>
        </w:tc>
        <w:tc>
          <w:tcPr>
            <w:tcW w:w="867" w:type="dxa"/>
            <w:vAlign w:val="center"/>
          </w:tcPr>
          <w:p w14:paraId="67496F89">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2</w:t>
            </w:r>
          </w:p>
        </w:tc>
        <w:tc>
          <w:tcPr>
            <w:tcW w:w="851" w:type="dxa"/>
            <w:vAlign w:val="center"/>
          </w:tcPr>
          <w:p w14:paraId="402E46CB">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1</w:t>
            </w:r>
          </w:p>
        </w:tc>
        <w:tc>
          <w:tcPr>
            <w:tcW w:w="851" w:type="dxa"/>
            <w:vAlign w:val="center"/>
          </w:tcPr>
          <w:p w14:paraId="0AB06759">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0.5</w:t>
            </w:r>
          </w:p>
        </w:tc>
        <w:tc>
          <w:tcPr>
            <w:tcW w:w="2870" w:type="dxa"/>
            <w:vMerge w:val="continue"/>
          </w:tcPr>
          <w:p w14:paraId="74253A7C">
            <w:pPr>
              <w:widowControl/>
              <w:adjustRightInd w:val="0"/>
              <w:snapToGrid w:val="0"/>
              <w:rPr>
                <w:rFonts w:ascii="仿宋" w:hAnsi="仿宋" w:eastAsia="仿宋" w:cs="仿宋_GB2312"/>
                <w:kern w:val="0"/>
                <w:sz w:val="28"/>
                <w:szCs w:val="28"/>
              </w:rPr>
            </w:pPr>
          </w:p>
        </w:tc>
      </w:tr>
      <w:tr w14:paraId="54119C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3243" w:type="dxa"/>
            <w:vAlign w:val="center"/>
          </w:tcPr>
          <w:p w14:paraId="1FBDAB30">
            <w:pPr>
              <w:widowControl/>
              <w:adjustRightInd w:val="0"/>
              <w:snapToGrid w:val="0"/>
              <w:ind w:left="-27" w:leftChars="-13"/>
              <w:jc w:val="center"/>
              <w:rPr>
                <w:rFonts w:ascii="仿宋" w:hAnsi="仿宋" w:eastAsia="仿宋" w:cs="仿宋_GB2312"/>
                <w:kern w:val="0"/>
                <w:sz w:val="24"/>
              </w:rPr>
            </w:pPr>
            <w:r>
              <w:rPr>
                <w:rFonts w:hint="eastAsia" w:ascii="仿宋" w:hAnsi="仿宋" w:eastAsia="仿宋" w:cs="仿宋_GB2312"/>
                <w:kern w:val="0"/>
                <w:sz w:val="24"/>
              </w:rPr>
              <w:t>申报获得新品种审定</w:t>
            </w:r>
          </w:p>
        </w:tc>
        <w:tc>
          <w:tcPr>
            <w:tcW w:w="867" w:type="dxa"/>
            <w:vAlign w:val="center"/>
          </w:tcPr>
          <w:p w14:paraId="2C695F18">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4</w:t>
            </w:r>
          </w:p>
        </w:tc>
        <w:tc>
          <w:tcPr>
            <w:tcW w:w="851" w:type="dxa"/>
            <w:vAlign w:val="center"/>
          </w:tcPr>
          <w:p w14:paraId="19960539">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2</w:t>
            </w:r>
          </w:p>
        </w:tc>
        <w:tc>
          <w:tcPr>
            <w:tcW w:w="851" w:type="dxa"/>
            <w:vAlign w:val="center"/>
          </w:tcPr>
          <w:p w14:paraId="530AC416">
            <w:pPr>
              <w:widowControl/>
              <w:adjustRightInd w:val="0"/>
              <w:snapToGrid w:val="0"/>
              <w:jc w:val="center"/>
              <w:rPr>
                <w:rFonts w:ascii="仿宋" w:hAnsi="仿宋" w:eastAsia="仿宋" w:cs="仿宋_GB2312"/>
                <w:kern w:val="0"/>
                <w:sz w:val="24"/>
              </w:rPr>
            </w:pPr>
            <w:r>
              <w:rPr>
                <w:rFonts w:hint="eastAsia" w:ascii="仿宋" w:hAnsi="仿宋" w:eastAsia="仿宋" w:cs="仿宋_GB2312"/>
                <w:kern w:val="0"/>
                <w:sz w:val="24"/>
              </w:rPr>
              <w:t>1</w:t>
            </w:r>
          </w:p>
        </w:tc>
        <w:tc>
          <w:tcPr>
            <w:tcW w:w="2870" w:type="dxa"/>
            <w:vMerge w:val="continue"/>
          </w:tcPr>
          <w:p w14:paraId="74CA69EF">
            <w:pPr>
              <w:widowControl/>
              <w:adjustRightInd w:val="0"/>
              <w:snapToGrid w:val="0"/>
              <w:rPr>
                <w:rFonts w:ascii="仿宋" w:hAnsi="仿宋" w:eastAsia="仿宋" w:cs="仿宋_GB2312"/>
                <w:kern w:val="0"/>
                <w:sz w:val="28"/>
                <w:szCs w:val="28"/>
              </w:rPr>
            </w:pPr>
          </w:p>
        </w:tc>
      </w:tr>
    </w:tbl>
    <w:p w14:paraId="23ACA61C">
      <w:pPr>
        <w:widowControl/>
        <w:adjustRightInd w:val="0"/>
        <w:snapToGrid w:val="0"/>
        <w:spacing w:line="360" w:lineRule="auto"/>
        <w:ind w:firstLine="281" w:firstLineChars="100"/>
        <w:rPr>
          <w:rFonts w:ascii="仿宋" w:hAnsi="仿宋" w:eastAsia="仿宋" w:cs="仿宋_GB2312"/>
          <w:b/>
          <w:bCs/>
          <w:color w:val="000000"/>
          <w:kern w:val="0"/>
          <w:sz w:val="28"/>
          <w:szCs w:val="28"/>
        </w:rPr>
      </w:pPr>
    </w:p>
    <w:p w14:paraId="7E47FEC3">
      <w:pPr>
        <w:widowControl/>
        <w:adjustRightInd w:val="0"/>
        <w:snapToGrid w:val="0"/>
        <w:spacing w:line="360" w:lineRule="auto"/>
        <w:ind w:firstLine="562" w:firstLineChars="200"/>
        <w:rPr>
          <w:rFonts w:ascii="仿宋" w:hAnsi="仿宋" w:eastAsia="仿宋" w:cs="仿宋_GB2312"/>
          <w:b/>
          <w:bCs/>
          <w:color w:val="000000"/>
          <w:kern w:val="0"/>
          <w:sz w:val="28"/>
          <w:szCs w:val="28"/>
        </w:rPr>
      </w:pPr>
      <w:r>
        <w:rPr>
          <w:rFonts w:hint="eastAsia" w:ascii="仿宋" w:hAnsi="仿宋" w:eastAsia="仿宋" w:cs="仿宋_GB2312"/>
          <w:b/>
          <w:bCs/>
          <w:color w:val="000000"/>
          <w:kern w:val="0"/>
          <w:sz w:val="28"/>
          <w:szCs w:val="28"/>
        </w:rPr>
        <w:t>（四）发展素养评价（5分）</w:t>
      </w:r>
    </w:p>
    <w:p w14:paraId="324BD252">
      <w:pPr>
        <w:widowControl/>
        <w:adjustRightInd w:val="0"/>
        <w:snapToGrid w:val="0"/>
        <w:spacing w:line="360" w:lineRule="auto"/>
        <w:ind w:firstLine="560" w:firstLineChars="200"/>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指学生参加社会服务、学生工作、志愿服务、参军入伍服兵役</w:t>
      </w:r>
      <w:r>
        <w:rPr>
          <w:rFonts w:ascii="仿宋" w:hAnsi="仿宋" w:eastAsia="仿宋" w:cs="仿宋_GB2312"/>
          <w:color w:val="000000"/>
          <w:kern w:val="0"/>
          <w:sz w:val="28"/>
          <w:szCs w:val="28"/>
        </w:rPr>
        <w:t>;参加国际组织实习、赴境外学习交流(须为学校相关部门、学院推荐或组织的项目)、外语水平，德、</w:t>
      </w:r>
      <w:r>
        <w:rPr>
          <w:rFonts w:hint="eastAsia" w:ascii="仿宋" w:hAnsi="仿宋" w:eastAsia="仿宋" w:cs="仿宋_GB2312"/>
          <w:color w:val="000000"/>
          <w:kern w:val="0"/>
          <w:sz w:val="28"/>
          <w:szCs w:val="28"/>
          <w:lang w:val="en-US" w:eastAsia="zh-CN"/>
        </w:rPr>
        <w:t>智、</w:t>
      </w:r>
      <w:r>
        <w:rPr>
          <w:rFonts w:ascii="仿宋" w:hAnsi="仿宋" w:eastAsia="仿宋" w:cs="仿宋_GB2312"/>
          <w:color w:val="000000"/>
          <w:kern w:val="0"/>
          <w:sz w:val="28"/>
          <w:szCs w:val="28"/>
        </w:rPr>
        <w:t>体、美、</w:t>
      </w:r>
      <w:r>
        <w:rPr>
          <w:rFonts w:hint="eastAsia" w:ascii="仿宋" w:hAnsi="仿宋" w:eastAsia="仿宋" w:cs="仿宋_GB2312"/>
          <w:color w:val="000000"/>
          <w:kern w:val="0"/>
          <w:sz w:val="28"/>
          <w:szCs w:val="28"/>
        </w:rPr>
        <w:t>劳获奖等符合全面发展价值导向的素养。此项累计加分超过5分按5分计。</w:t>
      </w:r>
    </w:p>
    <w:tbl>
      <w:tblPr>
        <w:tblStyle w:val="10"/>
        <w:tblW w:w="9653" w:type="dxa"/>
        <w:jc w:val="center"/>
        <w:tblLayout w:type="fixed"/>
        <w:tblCellMar>
          <w:top w:w="0" w:type="dxa"/>
          <w:left w:w="108" w:type="dxa"/>
          <w:bottom w:w="0" w:type="dxa"/>
          <w:right w:w="108" w:type="dxa"/>
        </w:tblCellMar>
      </w:tblPr>
      <w:tblGrid>
        <w:gridCol w:w="781"/>
        <w:gridCol w:w="4545"/>
        <w:gridCol w:w="892"/>
        <w:gridCol w:w="3435"/>
      </w:tblGrid>
      <w:tr w14:paraId="1369F6B0">
        <w:tblPrEx>
          <w:tblCellMar>
            <w:top w:w="0" w:type="dxa"/>
            <w:left w:w="108" w:type="dxa"/>
            <w:bottom w:w="0" w:type="dxa"/>
            <w:right w:w="108" w:type="dxa"/>
          </w:tblCellMar>
        </w:tblPrEx>
        <w:trPr>
          <w:trHeight w:val="270" w:hRule="atLeast"/>
          <w:jc w:val="center"/>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43AFD4">
            <w:pPr>
              <w:widowControl/>
              <w:spacing w:line="0" w:lineRule="atLeast"/>
              <w:jc w:val="center"/>
              <w:textAlignment w:val="center"/>
              <w:rPr>
                <w:rFonts w:ascii="华文仿宋" w:hAnsi="华文仿宋" w:eastAsia="华文仿宋" w:cs="华文仿宋"/>
                <w:b/>
                <w:bCs/>
                <w:color w:val="000000"/>
                <w:sz w:val="24"/>
              </w:rPr>
            </w:pPr>
            <w:r>
              <w:rPr>
                <w:rFonts w:hint="eastAsia" w:ascii="华文仿宋" w:hAnsi="华文仿宋" w:eastAsia="华文仿宋" w:cs="华文仿宋"/>
                <w:b/>
                <w:bCs/>
                <w:color w:val="000000"/>
                <w:kern w:val="0"/>
                <w:sz w:val="24"/>
                <w:lang w:bidi="ar"/>
              </w:rPr>
              <w:t>学生工作</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E4951">
            <w:pPr>
              <w:widowControl/>
              <w:spacing w:line="0" w:lineRule="atLeast"/>
              <w:jc w:val="left"/>
              <w:textAlignment w:val="center"/>
              <w:rPr>
                <w:rFonts w:ascii="华文仿宋" w:hAnsi="华文仿宋" w:eastAsia="华文仿宋" w:cs="华文仿宋"/>
                <w:color w:val="000000"/>
                <w:sz w:val="24"/>
              </w:rPr>
            </w:pPr>
            <w:r>
              <w:rPr>
                <w:rStyle w:val="27"/>
                <w:rFonts w:hint="default" w:ascii="华文仿宋" w:hAnsi="华文仿宋" w:eastAsia="华文仿宋" w:cs="华文仿宋"/>
                <w:sz w:val="24"/>
                <w:szCs w:val="24"/>
                <w:lang w:bidi="ar"/>
              </w:rPr>
              <w:t>省学联主席团成员</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DD6D4">
            <w:pPr>
              <w:widowControl/>
              <w:jc w:val="center"/>
              <w:textAlignment w:val="center"/>
              <w:rPr>
                <w:rFonts w:ascii="华文仿宋" w:hAnsi="华文仿宋" w:eastAsia="华文仿宋" w:cs="华文仿宋"/>
                <w:color w:val="000000"/>
                <w:sz w:val="24"/>
              </w:rPr>
            </w:pPr>
            <w:r>
              <w:rPr>
                <w:rFonts w:hint="eastAsia" w:ascii="华文仿宋" w:hAnsi="华文仿宋" w:eastAsia="华文仿宋" w:cs="华文仿宋"/>
                <w:color w:val="000000"/>
                <w:kern w:val="0"/>
                <w:sz w:val="24"/>
                <w:lang w:bidi="ar"/>
              </w:rPr>
              <w:t>1.5</w:t>
            </w:r>
          </w:p>
        </w:tc>
        <w:tc>
          <w:tcPr>
            <w:tcW w:w="3435" w:type="dxa"/>
            <w:vMerge w:val="restart"/>
            <w:tcBorders>
              <w:top w:val="single" w:color="000000" w:sz="4" w:space="0"/>
              <w:left w:val="single" w:color="000000" w:sz="4" w:space="0"/>
              <w:right w:val="single" w:color="000000" w:sz="4" w:space="0"/>
            </w:tcBorders>
            <w:shd w:val="clear" w:color="auto" w:fill="auto"/>
            <w:vAlign w:val="center"/>
          </w:tcPr>
          <w:p w14:paraId="7038656C">
            <w:pPr>
              <w:widowControl/>
              <w:spacing w:line="0" w:lineRule="atLeast"/>
              <w:jc w:val="left"/>
              <w:textAlignment w:val="center"/>
              <w:rPr>
                <w:rFonts w:ascii="华文仿宋" w:hAnsi="华文仿宋" w:eastAsia="华文仿宋" w:cs="华文仿宋"/>
                <w:color w:val="000000"/>
                <w:kern w:val="0"/>
                <w:szCs w:val="21"/>
                <w:lang w:bidi="ar"/>
              </w:rPr>
            </w:pPr>
            <w:r>
              <w:rPr>
                <w:rFonts w:hint="eastAsia" w:ascii="华文仿宋" w:hAnsi="华文仿宋" w:eastAsia="华文仿宋" w:cs="华文仿宋"/>
                <w:color w:val="000000"/>
                <w:kern w:val="0"/>
                <w:szCs w:val="21"/>
                <w:lang w:bidi="ar"/>
              </w:rPr>
              <w:t>1.部门负责人有正副职务之分的，正职按照原标准加分，副职按照原标准*0.8予以加分；</w:t>
            </w:r>
          </w:p>
          <w:p w14:paraId="2B380A08">
            <w:pPr>
              <w:widowControl/>
              <w:spacing w:line="0" w:lineRule="atLeast"/>
              <w:jc w:val="left"/>
              <w:textAlignment w:val="center"/>
              <w:rPr>
                <w:rFonts w:ascii="华文仿宋" w:hAnsi="华文仿宋" w:eastAsia="华文仿宋" w:cs="华文仿宋"/>
                <w:kern w:val="0"/>
                <w:szCs w:val="21"/>
                <w:lang w:bidi="ar"/>
              </w:rPr>
            </w:pPr>
            <w:r>
              <w:rPr>
                <w:rFonts w:hint="eastAsia" w:ascii="华文仿宋" w:hAnsi="华文仿宋" w:eastAsia="华文仿宋" w:cs="华文仿宋"/>
                <w:kern w:val="0"/>
                <w:szCs w:val="21"/>
                <w:lang w:bidi="ar"/>
              </w:rPr>
              <w:t>2.百花园、茶艺团参照学生组织加分，其他兴趣类社团按照相应分数*</w:t>
            </w:r>
            <w:r>
              <w:rPr>
                <w:rFonts w:ascii="华文仿宋" w:hAnsi="华文仿宋" w:eastAsia="华文仿宋" w:cs="华文仿宋"/>
                <w:kern w:val="0"/>
                <w:szCs w:val="21"/>
                <w:lang w:bidi="ar"/>
              </w:rPr>
              <w:t>0.8</w:t>
            </w:r>
            <w:r>
              <w:rPr>
                <w:rFonts w:hint="eastAsia" w:ascii="华文仿宋" w:hAnsi="华文仿宋" w:eastAsia="华文仿宋" w:cs="华文仿宋"/>
                <w:kern w:val="0"/>
                <w:szCs w:val="21"/>
                <w:lang w:bidi="ar"/>
              </w:rPr>
              <w:t>加分；</w:t>
            </w:r>
          </w:p>
          <w:p w14:paraId="0D431FB4">
            <w:pPr>
              <w:widowControl/>
              <w:spacing w:line="0" w:lineRule="atLeast"/>
              <w:jc w:val="left"/>
              <w:textAlignment w:val="center"/>
              <w:rPr>
                <w:rFonts w:ascii="华文仿宋" w:hAnsi="华文仿宋" w:eastAsia="华文仿宋" w:cs="华文仿宋"/>
                <w:color w:val="000000"/>
                <w:kern w:val="0"/>
                <w:sz w:val="24"/>
                <w:lang w:bidi="ar"/>
              </w:rPr>
            </w:pPr>
            <w:r>
              <w:rPr>
                <w:rFonts w:ascii="华文仿宋" w:hAnsi="华文仿宋" w:eastAsia="华文仿宋" w:cs="华文仿宋"/>
                <w:color w:val="000000"/>
                <w:kern w:val="0"/>
                <w:szCs w:val="21"/>
                <w:lang w:bidi="ar"/>
              </w:rPr>
              <w:t>3.</w:t>
            </w:r>
            <w:r>
              <w:rPr>
                <w:rFonts w:hint="eastAsia" w:ascii="华文仿宋" w:hAnsi="华文仿宋" w:eastAsia="华文仿宋" w:cs="华文仿宋"/>
                <w:color w:val="000000"/>
                <w:kern w:val="0"/>
                <w:szCs w:val="21"/>
                <w:lang w:bidi="ar"/>
              </w:rPr>
              <w:t>同一职务原则上需任职满一个学年，未满一学年不加分；同一个职务连续担任两个学年可按照两个职务进行加分；最多加两个职务分，第二个职务按对应标准*0.5予以加分，此项上限为1.5分。</w:t>
            </w:r>
          </w:p>
        </w:tc>
      </w:tr>
      <w:tr w14:paraId="3C207B06">
        <w:tblPrEx>
          <w:tblCellMar>
            <w:top w:w="0" w:type="dxa"/>
            <w:left w:w="108" w:type="dxa"/>
            <w:bottom w:w="0" w:type="dxa"/>
            <w:right w:w="108" w:type="dxa"/>
          </w:tblCellMar>
        </w:tblPrEx>
        <w:trPr>
          <w:trHeight w:val="277" w:hRule="atLeast"/>
          <w:jc w:val="center"/>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BA469">
            <w:pPr>
              <w:spacing w:line="0" w:lineRule="atLeast"/>
              <w:jc w:val="center"/>
              <w:rPr>
                <w:rFonts w:ascii="华文仿宋" w:hAnsi="华文仿宋" w:eastAsia="华文仿宋" w:cs="华文仿宋"/>
                <w:b/>
                <w:bCs/>
                <w:color w:val="000000"/>
                <w:sz w:val="24"/>
              </w:rPr>
            </w:pP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99B46">
            <w:pPr>
              <w:widowControl/>
              <w:spacing w:line="0" w:lineRule="atLeast"/>
              <w:jc w:val="left"/>
              <w:textAlignment w:val="center"/>
              <w:rPr>
                <w:rFonts w:ascii="华文仿宋" w:hAnsi="华文仿宋" w:eastAsia="华文仿宋" w:cs="华文仿宋"/>
                <w:color w:val="000000"/>
                <w:sz w:val="24"/>
              </w:rPr>
            </w:pPr>
            <w:r>
              <w:rPr>
                <w:rFonts w:hint="eastAsia" w:ascii="华文仿宋" w:hAnsi="华文仿宋" w:eastAsia="华文仿宋" w:cs="华文仿宋"/>
                <w:kern w:val="0"/>
                <w:sz w:val="24"/>
                <w:lang w:bidi="ar"/>
              </w:rPr>
              <w:t>校、院学生组织的主要负责人</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2C236">
            <w:pPr>
              <w:widowControl/>
              <w:jc w:val="center"/>
              <w:textAlignment w:val="center"/>
              <w:rPr>
                <w:rFonts w:ascii="华文仿宋" w:hAnsi="华文仿宋" w:eastAsia="华文仿宋" w:cs="华文仿宋"/>
                <w:color w:val="000000"/>
                <w:sz w:val="24"/>
              </w:rPr>
            </w:pPr>
            <w:r>
              <w:rPr>
                <w:rFonts w:hint="eastAsia" w:ascii="华文仿宋" w:hAnsi="华文仿宋" w:eastAsia="华文仿宋" w:cs="华文仿宋"/>
                <w:color w:val="000000"/>
                <w:kern w:val="0"/>
                <w:sz w:val="24"/>
                <w:lang w:bidi="ar"/>
              </w:rPr>
              <w:t>1</w:t>
            </w:r>
          </w:p>
        </w:tc>
        <w:tc>
          <w:tcPr>
            <w:tcW w:w="3435" w:type="dxa"/>
            <w:vMerge w:val="continue"/>
            <w:tcBorders>
              <w:left w:val="single" w:color="000000" w:sz="4" w:space="0"/>
              <w:right w:val="single" w:color="000000" w:sz="4" w:space="0"/>
            </w:tcBorders>
            <w:shd w:val="clear" w:color="auto" w:fill="auto"/>
            <w:vAlign w:val="center"/>
          </w:tcPr>
          <w:p w14:paraId="0106E11D">
            <w:pPr>
              <w:widowControl/>
              <w:jc w:val="center"/>
              <w:textAlignment w:val="center"/>
              <w:rPr>
                <w:rFonts w:ascii="华文仿宋" w:hAnsi="华文仿宋" w:eastAsia="华文仿宋" w:cs="华文仿宋"/>
                <w:color w:val="000000"/>
                <w:kern w:val="0"/>
                <w:sz w:val="24"/>
                <w:lang w:bidi="ar"/>
              </w:rPr>
            </w:pPr>
          </w:p>
        </w:tc>
      </w:tr>
      <w:tr w14:paraId="7C48B770">
        <w:tblPrEx>
          <w:tblCellMar>
            <w:top w:w="0" w:type="dxa"/>
            <w:left w:w="108" w:type="dxa"/>
            <w:bottom w:w="0" w:type="dxa"/>
            <w:right w:w="108" w:type="dxa"/>
          </w:tblCellMar>
        </w:tblPrEx>
        <w:trPr>
          <w:trHeight w:val="765" w:hRule="atLeast"/>
          <w:jc w:val="center"/>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B2293">
            <w:pPr>
              <w:spacing w:line="0" w:lineRule="atLeast"/>
              <w:jc w:val="center"/>
              <w:rPr>
                <w:rFonts w:ascii="华文仿宋" w:hAnsi="华文仿宋" w:eastAsia="华文仿宋" w:cs="华文仿宋"/>
                <w:b/>
                <w:bCs/>
                <w:color w:val="000000"/>
                <w:sz w:val="24"/>
              </w:rPr>
            </w:pP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895EB">
            <w:pPr>
              <w:widowControl/>
              <w:spacing w:line="0" w:lineRule="atLeast"/>
              <w:jc w:val="left"/>
              <w:textAlignment w:val="center"/>
              <w:rPr>
                <w:rFonts w:ascii="华文仿宋" w:hAnsi="华文仿宋" w:eastAsia="华文仿宋" w:cs="华文仿宋"/>
                <w:color w:val="000000"/>
                <w:sz w:val="24"/>
              </w:rPr>
            </w:pPr>
            <w:r>
              <w:rPr>
                <w:rFonts w:hint="eastAsia" w:ascii="华文仿宋" w:hAnsi="华文仿宋" w:eastAsia="华文仿宋" w:cs="华文仿宋"/>
                <w:color w:val="000000"/>
                <w:kern w:val="0"/>
                <w:sz w:val="24"/>
                <w:lang w:bidi="ar"/>
              </w:rPr>
              <w:t>校、院学生组织的部门负责人、党支部副书记；年级委员、助理班主任、团支书、班长、新生军训营长、副指导员</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9D72C">
            <w:pPr>
              <w:widowControl/>
              <w:jc w:val="center"/>
              <w:textAlignment w:val="center"/>
              <w:rPr>
                <w:rFonts w:ascii="华文仿宋" w:hAnsi="华文仿宋" w:eastAsia="华文仿宋" w:cs="华文仿宋"/>
                <w:color w:val="000000"/>
                <w:sz w:val="24"/>
              </w:rPr>
            </w:pPr>
            <w:r>
              <w:rPr>
                <w:rFonts w:hint="eastAsia" w:ascii="华文仿宋" w:hAnsi="华文仿宋" w:eastAsia="华文仿宋" w:cs="华文仿宋"/>
                <w:color w:val="000000"/>
                <w:kern w:val="0"/>
                <w:sz w:val="24"/>
                <w:lang w:bidi="ar"/>
              </w:rPr>
              <w:t>0.75</w:t>
            </w:r>
          </w:p>
        </w:tc>
        <w:tc>
          <w:tcPr>
            <w:tcW w:w="3435" w:type="dxa"/>
            <w:vMerge w:val="continue"/>
            <w:tcBorders>
              <w:left w:val="single" w:color="000000" w:sz="4" w:space="0"/>
              <w:right w:val="single" w:color="000000" w:sz="4" w:space="0"/>
            </w:tcBorders>
            <w:shd w:val="clear" w:color="auto" w:fill="auto"/>
            <w:vAlign w:val="center"/>
          </w:tcPr>
          <w:p w14:paraId="4BECB594">
            <w:pPr>
              <w:widowControl/>
              <w:jc w:val="center"/>
              <w:textAlignment w:val="center"/>
              <w:rPr>
                <w:rFonts w:ascii="华文仿宋" w:hAnsi="华文仿宋" w:eastAsia="华文仿宋" w:cs="华文仿宋"/>
                <w:color w:val="000000"/>
                <w:kern w:val="0"/>
                <w:sz w:val="24"/>
                <w:lang w:bidi="ar"/>
              </w:rPr>
            </w:pPr>
          </w:p>
        </w:tc>
      </w:tr>
      <w:tr w14:paraId="0B1AC17C">
        <w:tblPrEx>
          <w:tblCellMar>
            <w:top w:w="0" w:type="dxa"/>
            <w:left w:w="108" w:type="dxa"/>
            <w:bottom w:w="0" w:type="dxa"/>
            <w:right w:w="108" w:type="dxa"/>
          </w:tblCellMar>
        </w:tblPrEx>
        <w:trPr>
          <w:trHeight w:val="510" w:hRule="atLeast"/>
          <w:jc w:val="center"/>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D2F5A">
            <w:pPr>
              <w:spacing w:line="0" w:lineRule="atLeast"/>
              <w:jc w:val="center"/>
              <w:rPr>
                <w:rFonts w:ascii="华文仿宋" w:hAnsi="华文仿宋" w:eastAsia="华文仿宋" w:cs="华文仿宋"/>
                <w:b/>
                <w:bCs/>
                <w:color w:val="000000"/>
                <w:sz w:val="24"/>
              </w:rPr>
            </w:pP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B0E77">
            <w:pPr>
              <w:widowControl/>
              <w:spacing w:line="0" w:lineRule="atLeast"/>
              <w:jc w:val="left"/>
              <w:textAlignment w:val="center"/>
              <w:rPr>
                <w:rFonts w:ascii="华文仿宋" w:hAnsi="华文仿宋" w:eastAsia="华文仿宋" w:cs="华文仿宋"/>
                <w:color w:val="000000"/>
                <w:sz w:val="24"/>
              </w:rPr>
            </w:pPr>
            <w:r>
              <w:rPr>
                <w:rStyle w:val="28"/>
                <w:rFonts w:hint="default" w:ascii="华文仿宋" w:hAnsi="华文仿宋" w:eastAsia="华文仿宋" w:cs="华文仿宋"/>
                <w:sz w:val="24"/>
                <w:szCs w:val="24"/>
                <w:lang w:bidi="ar"/>
              </w:rPr>
              <w:t>教官团正式学员、党支部其它支委、班级其他委员、校内各级学生组织干事</w:t>
            </w:r>
            <w:r>
              <w:rPr>
                <w:rStyle w:val="29"/>
                <w:rFonts w:hint="eastAsia" w:ascii="华文仿宋" w:hAnsi="华文仿宋" w:eastAsia="华文仿宋" w:cs="华文仿宋"/>
                <w:sz w:val="24"/>
                <w:szCs w:val="24"/>
                <w:lang w:bidi="ar"/>
              </w:rPr>
              <w:t xml:space="preserve"> </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4E567">
            <w:pPr>
              <w:widowControl/>
              <w:jc w:val="center"/>
              <w:textAlignment w:val="center"/>
              <w:rPr>
                <w:rFonts w:ascii="华文仿宋" w:hAnsi="华文仿宋" w:eastAsia="华文仿宋" w:cs="华文仿宋"/>
                <w:color w:val="000000"/>
                <w:sz w:val="24"/>
              </w:rPr>
            </w:pPr>
            <w:r>
              <w:rPr>
                <w:rFonts w:hint="eastAsia" w:ascii="华文仿宋" w:hAnsi="华文仿宋" w:eastAsia="华文仿宋" w:cs="华文仿宋"/>
                <w:color w:val="000000"/>
                <w:kern w:val="0"/>
                <w:sz w:val="24"/>
                <w:lang w:bidi="ar"/>
              </w:rPr>
              <w:t>0.5</w:t>
            </w:r>
          </w:p>
        </w:tc>
        <w:tc>
          <w:tcPr>
            <w:tcW w:w="3435" w:type="dxa"/>
            <w:vMerge w:val="continue"/>
            <w:tcBorders>
              <w:left w:val="single" w:color="000000" w:sz="4" w:space="0"/>
              <w:bottom w:val="single" w:color="000000" w:sz="4" w:space="0"/>
              <w:right w:val="single" w:color="000000" w:sz="4" w:space="0"/>
            </w:tcBorders>
            <w:shd w:val="clear" w:color="auto" w:fill="auto"/>
            <w:vAlign w:val="center"/>
          </w:tcPr>
          <w:p w14:paraId="2DCBBCF8">
            <w:pPr>
              <w:widowControl/>
              <w:jc w:val="center"/>
              <w:textAlignment w:val="center"/>
              <w:rPr>
                <w:rFonts w:ascii="华文仿宋" w:hAnsi="华文仿宋" w:eastAsia="华文仿宋" w:cs="华文仿宋"/>
                <w:color w:val="000000"/>
                <w:kern w:val="0"/>
                <w:sz w:val="24"/>
                <w:lang w:bidi="ar"/>
              </w:rPr>
            </w:pPr>
          </w:p>
        </w:tc>
      </w:tr>
      <w:tr w14:paraId="45E9F18C">
        <w:tblPrEx>
          <w:tblCellMar>
            <w:top w:w="0" w:type="dxa"/>
            <w:left w:w="108" w:type="dxa"/>
            <w:bottom w:w="0" w:type="dxa"/>
            <w:right w:w="108" w:type="dxa"/>
          </w:tblCellMar>
        </w:tblPrEx>
        <w:trPr>
          <w:trHeight w:val="510" w:hRule="atLeast"/>
          <w:jc w:val="center"/>
        </w:trPr>
        <w:tc>
          <w:tcPr>
            <w:tcW w:w="781" w:type="dxa"/>
            <w:tcBorders>
              <w:left w:val="single" w:color="000000" w:sz="4" w:space="0"/>
              <w:right w:val="single" w:color="000000" w:sz="4" w:space="0"/>
            </w:tcBorders>
            <w:shd w:val="clear" w:color="auto" w:fill="auto"/>
            <w:vAlign w:val="center"/>
          </w:tcPr>
          <w:p w14:paraId="6278F458">
            <w:pPr>
              <w:spacing w:line="0" w:lineRule="atLeast"/>
              <w:rPr>
                <w:rFonts w:ascii="华文仿宋" w:hAnsi="华文仿宋" w:eastAsia="华文仿宋" w:cs="华文仿宋"/>
                <w:b/>
                <w:bCs/>
                <w:color w:val="000000"/>
                <w:sz w:val="24"/>
              </w:rPr>
            </w:pP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DE339">
            <w:pPr>
              <w:widowControl/>
              <w:spacing w:line="0" w:lineRule="atLeast"/>
              <w:jc w:val="left"/>
              <w:textAlignment w:val="center"/>
              <w:rPr>
                <w:rStyle w:val="28"/>
                <w:rFonts w:hint="default" w:ascii="华文仿宋" w:hAnsi="华文仿宋" w:eastAsia="华文仿宋" w:cs="华文仿宋"/>
                <w:sz w:val="24"/>
                <w:szCs w:val="24"/>
                <w:lang w:bidi="ar"/>
              </w:rPr>
            </w:pPr>
            <w:r>
              <w:rPr>
                <w:rStyle w:val="28"/>
                <w:rFonts w:hint="default" w:ascii="华文仿宋" w:hAnsi="华文仿宋" w:eastAsia="华文仿宋" w:cs="华文仿宋"/>
                <w:sz w:val="24"/>
                <w:szCs w:val="24"/>
                <w:lang w:bidi="ar"/>
              </w:rPr>
              <w:t>i志愿时入学以来累计达120h以上</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8461E">
            <w:pPr>
              <w:widowControl/>
              <w:jc w:val="center"/>
              <w:textAlignment w:val="center"/>
              <w:rPr>
                <w:rFonts w:ascii="华文仿宋" w:hAnsi="华文仿宋" w:eastAsia="华文仿宋" w:cs="华文仿宋"/>
                <w:color w:val="000000"/>
                <w:kern w:val="0"/>
                <w:sz w:val="24"/>
                <w:lang w:bidi="ar"/>
              </w:rPr>
            </w:pPr>
            <w:r>
              <w:rPr>
                <w:rFonts w:hint="eastAsia" w:ascii="华文仿宋" w:hAnsi="华文仿宋" w:eastAsia="华文仿宋" w:cs="华文仿宋"/>
                <w:color w:val="000000"/>
                <w:kern w:val="0"/>
                <w:sz w:val="24"/>
                <w:lang w:bidi="ar"/>
              </w:rPr>
              <w:t>0.5</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22B58">
            <w:pPr>
              <w:widowControl/>
              <w:jc w:val="center"/>
              <w:textAlignment w:val="center"/>
              <w:rPr>
                <w:rFonts w:ascii="华文仿宋" w:hAnsi="华文仿宋" w:eastAsia="华文仿宋" w:cs="华文仿宋"/>
                <w:color w:val="000000"/>
                <w:kern w:val="0"/>
                <w:sz w:val="24"/>
                <w:lang w:bidi="ar"/>
              </w:rPr>
            </w:pPr>
            <w:r>
              <w:rPr>
                <w:rFonts w:hint="eastAsia" w:ascii="华文仿宋" w:hAnsi="华文仿宋" w:eastAsia="华文仿宋" w:cs="华文仿宋"/>
                <w:color w:val="000000"/>
                <w:kern w:val="0"/>
                <w:szCs w:val="21"/>
                <w:lang w:bidi="ar"/>
              </w:rPr>
              <w:t>1.志愿服务时长以“i志愿”系统记录为准</w:t>
            </w:r>
          </w:p>
        </w:tc>
      </w:tr>
      <w:tr w14:paraId="1D0CDEB7">
        <w:tblPrEx>
          <w:tblCellMar>
            <w:top w:w="0" w:type="dxa"/>
            <w:left w:w="108" w:type="dxa"/>
            <w:bottom w:w="0" w:type="dxa"/>
            <w:right w:w="108" w:type="dxa"/>
          </w:tblCellMar>
        </w:tblPrEx>
        <w:trPr>
          <w:trHeight w:val="1604" w:hRule="atLeast"/>
          <w:jc w:val="center"/>
        </w:trPr>
        <w:tc>
          <w:tcPr>
            <w:tcW w:w="781" w:type="dxa"/>
            <w:vMerge w:val="restart"/>
            <w:tcBorders>
              <w:left w:val="single" w:color="000000" w:sz="4" w:space="0"/>
              <w:right w:val="single" w:color="000000" w:sz="4" w:space="0"/>
            </w:tcBorders>
            <w:shd w:val="clear" w:color="auto" w:fill="auto"/>
            <w:vAlign w:val="center"/>
          </w:tcPr>
          <w:p w14:paraId="5FEEC99A">
            <w:pPr>
              <w:spacing w:line="0" w:lineRule="atLeast"/>
              <w:rPr>
                <w:rFonts w:ascii="华文仿宋" w:hAnsi="华文仿宋" w:eastAsia="华文仿宋" w:cs="华文仿宋"/>
                <w:b/>
                <w:bCs/>
                <w:color w:val="000000"/>
                <w:sz w:val="24"/>
              </w:rPr>
            </w:pPr>
            <w:r>
              <w:rPr>
                <w:rFonts w:hint="eastAsia" w:ascii="华文仿宋" w:hAnsi="华文仿宋" w:eastAsia="华文仿宋" w:cs="华文仿宋"/>
                <w:b/>
                <w:bCs/>
                <w:color w:val="000000"/>
                <w:sz w:val="24"/>
              </w:rPr>
              <w:t>其他</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D7F1E">
            <w:pPr>
              <w:widowControl/>
              <w:jc w:val="left"/>
              <w:textAlignment w:val="center"/>
              <w:rPr>
                <w:rStyle w:val="28"/>
                <w:rFonts w:hint="default" w:ascii="华文仿宋" w:hAnsi="华文仿宋" w:eastAsia="华文仿宋" w:cs="华文仿宋"/>
                <w:sz w:val="24"/>
                <w:szCs w:val="24"/>
                <w:lang w:bidi="ar"/>
              </w:rPr>
            </w:pPr>
            <w:r>
              <w:rPr>
                <w:rFonts w:hint="eastAsia" w:ascii="华文仿宋" w:hAnsi="华文仿宋" w:eastAsia="华文仿宋" w:cs="华文仿宋"/>
                <w:color w:val="000000"/>
                <w:kern w:val="0"/>
                <w:sz w:val="24"/>
                <w:lang w:bidi="ar"/>
              </w:rPr>
              <w:t>国家级奖励或荣誉</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4E0BB">
            <w:pPr>
              <w:widowControl/>
              <w:jc w:val="center"/>
              <w:textAlignment w:val="center"/>
              <w:rPr>
                <w:rFonts w:ascii="华文仿宋" w:hAnsi="华文仿宋" w:eastAsia="华文仿宋" w:cs="华文仿宋"/>
                <w:color w:val="000000"/>
                <w:kern w:val="0"/>
                <w:sz w:val="24"/>
                <w:lang w:bidi="ar"/>
              </w:rPr>
            </w:pPr>
            <w:r>
              <w:rPr>
                <w:rFonts w:hint="eastAsia" w:ascii="华文仿宋" w:hAnsi="华文仿宋" w:eastAsia="华文仿宋" w:cs="华文仿宋"/>
                <w:color w:val="000000"/>
                <w:kern w:val="0"/>
                <w:sz w:val="24"/>
                <w:lang w:bidi="ar"/>
              </w:rPr>
              <w:t>1</w:t>
            </w:r>
          </w:p>
        </w:tc>
        <w:tc>
          <w:tcPr>
            <w:tcW w:w="3435" w:type="dxa"/>
            <w:vMerge w:val="restart"/>
            <w:tcBorders>
              <w:top w:val="single" w:color="000000" w:sz="4" w:space="0"/>
              <w:left w:val="single" w:color="000000" w:sz="4" w:space="0"/>
              <w:right w:val="single" w:color="000000" w:sz="4" w:space="0"/>
            </w:tcBorders>
            <w:shd w:val="clear" w:color="auto" w:fill="auto"/>
            <w:vAlign w:val="center"/>
          </w:tcPr>
          <w:p w14:paraId="50A3DCAE">
            <w:pPr>
              <w:widowControl/>
              <w:numPr>
                <w:ilvl w:val="255"/>
                <w:numId w:val="0"/>
              </w:numPr>
              <w:textAlignment w:val="center"/>
              <w:rPr>
                <w:rFonts w:ascii="华文仿宋" w:hAnsi="华文仿宋" w:eastAsia="华文仿宋" w:cs="华文仿宋"/>
                <w:color w:val="000000"/>
                <w:kern w:val="0"/>
                <w:szCs w:val="21"/>
                <w:lang w:bidi="ar"/>
              </w:rPr>
            </w:pPr>
            <w:r>
              <w:rPr>
                <w:rFonts w:hint="eastAsia" w:ascii="华文仿宋" w:hAnsi="华文仿宋" w:eastAsia="华文仿宋" w:cs="华文仿宋"/>
                <w:color w:val="000000"/>
                <w:kern w:val="0"/>
                <w:szCs w:val="21"/>
                <w:lang w:bidi="ar"/>
              </w:rPr>
              <w:t>1.此处奖励荣誉指与创新能力模块专业、学科无关的荣誉称号、标兵等。可加分包括但不限于优秀党员/团员、优秀学生干部、模范引领标兵等称号（综测三好学生、三好学生标兵、模范引领提名奖，各类奖学金荣誉不加分），特殊情况以学院推免生遴选工作小组审核认定为准。</w:t>
            </w:r>
          </w:p>
          <w:p w14:paraId="165BD171">
            <w:pPr>
              <w:widowControl/>
              <w:numPr>
                <w:ilvl w:val="255"/>
                <w:numId w:val="0"/>
              </w:numPr>
              <w:textAlignment w:val="center"/>
              <w:rPr>
                <w:rFonts w:ascii="华文仿宋" w:hAnsi="华文仿宋" w:eastAsia="华文仿宋" w:cs="华文仿宋"/>
                <w:color w:val="000000"/>
                <w:kern w:val="0"/>
                <w:szCs w:val="21"/>
                <w:lang w:bidi="ar"/>
              </w:rPr>
            </w:pPr>
            <w:r>
              <w:rPr>
                <w:rFonts w:hint="eastAsia" w:ascii="华文仿宋" w:hAnsi="华文仿宋" w:eastAsia="华文仿宋" w:cs="华文仿宋"/>
                <w:color w:val="000000"/>
                <w:kern w:val="0"/>
                <w:szCs w:val="21"/>
                <w:lang w:bidi="ar"/>
              </w:rPr>
              <w:t>2.设一二三等奖的赛事奖励，获一等奖按级别分值加，二等奖按级别分值*0.8，三等奖按级别分值*0.5，获“优秀奖”的按照三等奖加分标准*0.8予以加分；设有特等奖的赛事，原三等奖按优秀奖标准执行；</w:t>
            </w:r>
          </w:p>
          <w:p w14:paraId="7E291173">
            <w:pPr>
              <w:widowControl/>
              <w:numPr>
                <w:ilvl w:val="255"/>
                <w:numId w:val="0"/>
              </w:numPr>
              <w:textAlignment w:val="center"/>
              <w:rPr>
                <w:rFonts w:ascii="华文仿宋" w:hAnsi="华文仿宋" w:eastAsia="华文仿宋" w:cs="华文仿宋"/>
                <w:color w:val="000000"/>
                <w:kern w:val="0"/>
                <w:szCs w:val="21"/>
                <w:lang w:bidi="ar"/>
              </w:rPr>
            </w:pPr>
            <w:r>
              <w:rPr>
                <w:rFonts w:hint="eastAsia" w:ascii="华文仿宋" w:hAnsi="华文仿宋" w:eastAsia="华文仿宋" w:cs="华文仿宋"/>
                <w:color w:val="000000"/>
                <w:kern w:val="0"/>
                <w:szCs w:val="21"/>
                <w:lang w:bidi="ar"/>
              </w:rPr>
              <w:t>3.有队长、队员之分的，队长按照相应等级的原标准加分，队员按照原标准*0.5予以加分；</w:t>
            </w:r>
          </w:p>
          <w:p w14:paraId="45E2317D">
            <w:pPr>
              <w:widowControl/>
              <w:numPr>
                <w:ilvl w:val="255"/>
                <w:numId w:val="0"/>
              </w:numPr>
              <w:textAlignment w:val="center"/>
              <w:rPr>
                <w:rFonts w:ascii="华文仿宋" w:hAnsi="华文仿宋" w:eastAsia="华文仿宋" w:cs="华文仿宋"/>
                <w:color w:val="000000"/>
                <w:kern w:val="0"/>
                <w:szCs w:val="21"/>
                <w:lang w:bidi="ar"/>
              </w:rPr>
            </w:pPr>
            <w:r>
              <w:rPr>
                <w:rFonts w:hint="eastAsia" w:ascii="华文仿宋" w:hAnsi="华文仿宋" w:eastAsia="华文仿宋" w:cs="华文仿宋"/>
                <w:color w:val="000000"/>
                <w:kern w:val="0"/>
                <w:szCs w:val="21"/>
                <w:lang w:bidi="ar"/>
              </w:rPr>
              <w:t>4.此项上限为1分，超过按1分计。</w:t>
            </w:r>
          </w:p>
        </w:tc>
      </w:tr>
      <w:tr w14:paraId="3E8F4D61">
        <w:tblPrEx>
          <w:tblCellMar>
            <w:top w:w="0" w:type="dxa"/>
            <w:left w:w="108" w:type="dxa"/>
            <w:bottom w:w="0" w:type="dxa"/>
            <w:right w:w="108" w:type="dxa"/>
          </w:tblCellMar>
        </w:tblPrEx>
        <w:trPr>
          <w:trHeight w:val="1329" w:hRule="atLeast"/>
          <w:jc w:val="center"/>
        </w:trPr>
        <w:tc>
          <w:tcPr>
            <w:tcW w:w="781" w:type="dxa"/>
            <w:vMerge w:val="continue"/>
            <w:tcBorders>
              <w:left w:val="single" w:color="000000" w:sz="4" w:space="0"/>
              <w:right w:val="single" w:color="000000" w:sz="4" w:space="0"/>
            </w:tcBorders>
            <w:shd w:val="clear" w:color="auto" w:fill="auto"/>
            <w:vAlign w:val="center"/>
          </w:tcPr>
          <w:p w14:paraId="53B081D2">
            <w:pPr>
              <w:spacing w:line="0" w:lineRule="atLeast"/>
              <w:rPr>
                <w:rFonts w:ascii="华文仿宋" w:hAnsi="华文仿宋" w:eastAsia="华文仿宋" w:cs="华文仿宋"/>
                <w:b/>
                <w:bCs/>
                <w:color w:val="000000"/>
                <w:sz w:val="24"/>
              </w:rPr>
            </w:pP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0AA93">
            <w:pPr>
              <w:widowControl/>
              <w:jc w:val="left"/>
              <w:textAlignment w:val="center"/>
              <w:rPr>
                <w:rStyle w:val="28"/>
                <w:rFonts w:hint="default" w:ascii="华文仿宋" w:hAnsi="华文仿宋" w:eastAsia="华文仿宋" w:cs="华文仿宋"/>
                <w:sz w:val="24"/>
                <w:szCs w:val="24"/>
                <w:lang w:bidi="ar"/>
              </w:rPr>
            </w:pPr>
            <w:r>
              <w:rPr>
                <w:rFonts w:hint="eastAsia" w:ascii="华文仿宋" w:hAnsi="华文仿宋" w:eastAsia="华文仿宋" w:cs="华文仿宋"/>
                <w:color w:val="000000"/>
                <w:kern w:val="0"/>
                <w:sz w:val="24"/>
                <w:lang w:bidi="ar"/>
              </w:rPr>
              <w:t>省部级奖励或荣誉</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72267">
            <w:pPr>
              <w:widowControl/>
              <w:jc w:val="center"/>
              <w:textAlignment w:val="center"/>
              <w:rPr>
                <w:rFonts w:ascii="华文仿宋" w:hAnsi="华文仿宋" w:eastAsia="华文仿宋" w:cs="华文仿宋"/>
                <w:color w:val="000000"/>
                <w:kern w:val="0"/>
                <w:sz w:val="24"/>
                <w:lang w:bidi="ar"/>
              </w:rPr>
            </w:pPr>
            <w:r>
              <w:rPr>
                <w:rFonts w:hint="eastAsia" w:ascii="华文仿宋" w:hAnsi="华文仿宋" w:eastAsia="华文仿宋" w:cs="华文仿宋"/>
                <w:color w:val="000000"/>
                <w:kern w:val="0"/>
                <w:sz w:val="24"/>
                <w:lang w:bidi="ar"/>
              </w:rPr>
              <w:t>0.8</w:t>
            </w:r>
          </w:p>
        </w:tc>
        <w:tc>
          <w:tcPr>
            <w:tcW w:w="3435" w:type="dxa"/>
            <w:vMerge w:val="continue"/>
            <w:tcBorders>
              <w:left w:val="single" w:color="000000" w:sz="4" w:space="0"/>
              <w:right w:val="single" w:color="000000" w:sz="4" w:space="0"/>
            </w:tcBorders>
            <w:shd w:val="clear" w:color="auto" w:fill="auto"/>
            <w:vAlign w:val="center"/>
          </w:tcPr>
          <w:p w14:paraId="0BC6BAAB">
            <w:pPr>
              <w:widowControl/>
              <w:jc w:val="center"/>
              <w:textAlignment w:val="center"/>
              <w:rPr>
                <w:rFonts w:ascii="华文仿宋" w:hAnsi="华文仿宋" w:eastAsia="华文仿宋" w:cs="华文仿宋"/>
                <w:color w:val="000000"/>
                <w:kern w:val="0"/>
                <w:szCs w:val="21"/>
                <w:lang w:bidi="ar"/>
              </w:rPr>
            </w:pPr>
          </w:p>
        </w:tc>
      </w:tr>
      <w:tr w14:paraId="694D3CE9">
        <w:tblPrEx>
          <w:tblCellMar>
            <w:top w:w="0" w:type="dxa"/>
            <w:left w:w="108" w:type="dxa"/>
            <w:bottom w:w="0" w:type="dxa"/>
            <w:right w:w="108" w:type="dxa"/>
          </w:tblCellMar>
        </w:tblPrEx>
        <w:trPr>
          <w:trHeight w:val="1284" w:hRule="atLeast"/>
          <w:jc w:val="center"/>
        </w:trPr>
        <w:tc>
          <w:tcPr>
            <w:tcW w:w="781" w:type="dxa"/>
            <w:vMerge w:val="continue"/>
            <w:tcBorders>
              <w:left w:val="single" w:color="000000" w:sz="4" w:space="0"/>
              <w:right w:val="single" w:color="000000" w:sz="4" w:space="0"/>
            </w:tcBorders>
            <w:shd w:val="clear" w:color="auto" w:fill="auto"/>
            <w:vAlign w:val="center"/>
          </w:tcPr>
          <w:p w14:paraId="30B2A5A7">
            <w:pPr>
              <w:spacing w:line="0" w:lineRule="atLeast"/>
              <w:rPr>
                <w:rFonts w:ascii="华文仿宋" w:hAnsi="华文仿宋" w:eastAsia="华文仿宋" w:cs="华文仿宋"/>
                <w:b/>
                <w:bCs/>
                <w:color w:val="000000"/>
                <w:sz w:val="24"/>
              </w:rPr>
            </w:pP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0FB92">
            <w:pPr>
              <w:widowControl/>
              <w:jc w:val="left"/>
              <w:textAlignment w:val="center"/>
              <w:rPr>
                <w:rStyle w:val="28"/>
                <w:rFonts w:hint="default" w:ascii="华文仿宋" w:hAnsi="华文仿宋" w:eastAsia="华文仿宋" w:cs="华文仿宋"/>
                <w:sz w:val="24"/>
                <w:szCs w:val="24"/>
                <w:lang w:bidi="ar"/>
              </w:rPr>
            </w:pPr>
            <w:r>
              <w:rPr>
                <w:rFonts w:hint="eastAsia" w:ascii="华文仿宋" w:hAnsi="华文仿宋" w:eastAsia="华文仿宋" w:cs="华文仿宋"/>
                <w:color w:val="000000"/>
                <w:kern w:val="0"/>
                <w:sz w:val="24"/>
                <w:lang w:bidi="ar"/>
              </w:rPr>
              <w:t>市级、校级奖励或荣誉</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D5BF2">
            <w:pPr>
              <w:widowControl/>
              <w:jc w:val="center"/>
              <w:textAlignment w:val="center"/>
              <w:rPr>
                <w:rFonts w:ascii="华文仿宋" w:hAnsi="华文仿宋" w:eastAsia="华文仿宋" w:cs="华文仿宋"/>
                <w:color w:val="000000"/>
                <w:kern w:val="0"/>
                <w:sz w:val="24"/>
                <w:lang w:bidi="ar"/>
              </w:rPr>
            </w:pPr>
            <w:r>
              <w:rPr>
                <w:rFonts w:hint="eastAsia" w:ascii="华文仿宋" w:hAnsi="华文仿宋" w:eastAsia="华文仿宋" w:cs="华文仿宋"/>
                <w:color w:val="000000"/>
                <w:kern w:val="0"/>
                <w:sz w:val="24"/>
                <w:lang w:bidi="ar"/>
              </w:rPr>
              <w:t>0.5</w:t>
            </w:r>
          </w:p>
        </w:tc>
        <w:tc>
          <w:tcPr>
            <w:tcW w:w="3435" w:type="dxa"/>
            <w:vMerge w:val="continue"/>
            <w:tcBorders>
              <w:left w:val="single" w:color="000000" w:sz="4" w:space="0"/>
              <w:right w:val="single" w:color="000000" w:sz="4" w:space="0"/>
            </w:tcBorders>
            <w:shd w:val="clear" w:color="auto" w:fill="auto"/>
            <w:vAlign w:val="center"/>
          </w:tcPr>
          <w:p w14:paraId="5410FA26">
            <w:pPr>
              <w:widowControl/>
              <w:jc w:val="center"/>
              <w:textAlignment w:val="center"/>
              <w:rPr>
                <w:rFonts w:ascii="华文仿宋" w:hAnsi="华文仿宋" w:eastAsia="华文仿宋" w:cs="华文仿宋"/>
                <w:color w:val="000000"/>
                <w:kern w:val="0"/>
                <w:szCs w:val="21"/>
                <w:lang w:bidi="ar"/>
              </w:rPr>
            </w:pPr>
          </w:p>
        </w:tc>
      </w:tr>
      <w:tr w14:paraId="3FE9B1D4">
        <w:tblPrEx>
          <w:tblCellMar>
            <w:top w:w="0" w:type="dxa"/>
            <w:left w:w="108" w:type="dxa"/>
            <w:bottom w:w="0" w:type="dxa"/>
            <w:right w:w="108" w:type="dxa"/>
          </w:tblCellMar>
        </w:tblPrEx>
        <w:trPr>
          <w:trHeight w:val="510" w:hRule="atLeast"/>
          <w:jc w:val="center"/>
        </w:trPr>
        <w:tc>
          <w:tcPr>
            <w:tcW w:w="781" w:type="dxa"/>
            <w:vMerge w:val="continue"/>
            <w:tcBorders>
              <w:left w:val="single" w:color="000000" w:sz="4" w:space="0"/>
              <w:bottom w:val="single" w:color="auto" w:sz="4" w:space="0"/>
              <w:right w:val="single" w:color="000000" w:sz="4" w:space="0"/>
            </w:tcBorders>
            <w:shd w:val="clear" w:color="auto" w:fill="auto"/>
            <w:vAlign w:val="center"/>
          </w:tcPr>
          <w:p w14:paraId="2B4D036B">
            <w:pPr>
              <w:spacing w:line="0" w:lineRule="atLeast"/>
              <w:rPr>
                <w:rFonts w:ascii="华文仿宋" w:hAnsi="华文仿宋" w:eastAsia="华文仿宋" w:cs="华文仿宋"/>
                <w:b/>
                <w:bCs/>
                <w:color w:val="000000"/>
                <w:sz w:val="24"/>
              </w:rPr>
            </w:pP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0AD04">
            <w:pPr>
              <w:widowControl/>
              <w:jc w:val="left"/>
              <w:textAlignment w:val="center"/>
              <w:rPr>
                <w:rStyle w:val="28"/>
                <w:rFonts w:hint="default" w:ascii="华文仿宋" w:hAnsi="华文仿宋" w:eastAsia="华文仿宋" w:cs="华文仿宋"/>
                <w:sz w:val="24"/>
                <w:szCs w:val="24"/>
                <w:lang w:bidi="ar"/>
              </w:rPr>
            </w:pPr>
            <w:r>
              <w:rPr>
                <w:rFonts w:ascii="华文仿宋" w:hAnsi="华文仿宋" w:eastAsia="华文仿宋" w:cs="华文仿宋"/>
                <w:kern w:val="0"/>
                <w:sz w:val="24"/>
              </w:rPr>
              <w:t>院级奖励或荣誉</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DD91D">
            <w:pPr>
              <w:widowControl/>
              <w:jc w:val="center"/>
              <w:textAlignment w:val="center"/>
              <w:rPr>
                <w:rFonts w:ascii="华文仿宋" w:hAnsi="华文仿宋" w:eastAsia="华文仿宋" w:cs="华文仿宋"/>
                <w:color w:val="000000"/>
                <w:kern w:val="0"/>
                <w:sz w:val="24"/>
                <w:lang w:bidi="ar"/>
              </w:rPr>
            </w:pPr>
            <w:r>
              <w:rPr>
                <w:rFonts w:hint="eastAsia" w:ascii="华文仿宋" w:hAnsi="华文仿宋" w:eastAsia="华文仿宋" w:cs="华文仿宋"/>
                <w:color w:val="000000"/>
                <w:kern w:val="0"/>
                <w:sz w:val="24"/>
                <w:lang w:bidi="ar"/>
              </w:rPr>
              <w:t>0.2</w:t>
            </w:r>
          </w:p>
        </w:tc>
        <w:tc>
          <w:tcPr>
            <w:tcW w:w="3435" w:type="dxa"/>
            <w:vMerge w:val="continue"/>
            <w:tcBorders>
              <w:left w:val="single" w:color="000000" w:sz="4" w:space="0"/>
              <w:bottom w:val="single" w:color="000000" w:sz="4" w:space="0"/>
              <w:right w:val="single" w:color="000000" w:sz="4" w:space="0"/>
            </w:tcBorders>
            <w:shd w:val="clear" w:color="auto" w:fill="auto"/>
            <w:vAlign w:val="center"/>
          </w:tcPr>
          <w:p w14:paraId="3E9BE698">
            <w:pPr>
              <w:widowControl/>
              <w:jc w:val="center"/>
              <w:textAlignment w:val="center"/>
              <w:rPr>
                <w:rFonts w:ascii="华文仿宋" w:hAnsi="华文仿宋" w:eastAsia="华文仿宋" w:cs="华文仿宋"/>
                <w:color w:val="000000"/>
                <w:kern w:val="0"/>
                <w:szCs w:val="21"/>
                <w:lang w:bidi="ar"/>
              </w:rPr>
            </w:pPr>
          </w:p>
        </w:tc>
      </w:tr>
      <w:tr w14:paraId="4049EFCC">
        <w:tblPrEx>
          <w:tblCellMar>
            <w:top w:w="0" w:type="dxa"/>
            <w:left w:w="108" w:type="dxa"/>
            <w:bottom w:w="0" w:type="dxa"/>
            <w:right w:w="108" w:type="dxa"/>
          </w:tblCellMar>
        </w:tblPrEx>
        <w:trPr>
          <w:trHeight w:val="510" w:hRule="atLeast"/>
          <w:jc w:val="center"/>
        </w:trPr>
        <w:tc>
          <w:tcPr>
            <w:tcW w:w="781"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FE134EA">
            <w:pPr>
              <w:spacing w:line="0" w:lineRule="atLeast"/>
              <w:jc w:val="center"/>
              <w:rPr>
                <w:rFonts w:ascii="华文仿宋" w:hAnsi="华文仿宋" w:eastAsia="华文仿宋" w:cs="华文仿宋"/>
                <w:b/>
                <w:bCs/>
                <w:color w:val="000000"/>
                <w:sz w:val="24"/>
              </w:rPr>
            </w:pPr>
            <w:r>
              <w:rPr>
                <w:rFonts w:hint="eastAsia" w:ascii="华文仿宋" w:hAnsi="华文仿宋" w:eastAsia="华文仿宋" w:cs="华文仿宋"/>
                <w:b/>
                <w:bCs/>
                <w:color w:val="000000"/>
                <w:sz w:val="24"/>
              </w:rPr>
              <w:t>国际交流</w:t>
            </w: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AEE15">
            <w:pPr>
              <w:widowControl/>
              <w:spacing w:line="0" w:lineRule="atLeast"/>
              <w:jc w:val="left"/>
              <w:textAlignment w:val="center"/>
              <w:rPr>
                <w:rStyle w:val="28"/>
                <w:rFonts w:hint="default" w:ascii="华文仿宋" w:hAnsi="华文仿宋" w:eastAsia="华文仿宋" w:cs="华文仿宋"/>
                <w:sz w:val="24"/>
                <w:szCs w:val="24"/>
                <w:lang w:bidi="ar"/>
              </w:rPr>
            </w:pPr>
            <w:r>
              <w:rPr>
                <w:rStyle w:val="28"/>
                <w:rFonts w:hint="default" w:ascii="华文仿宋" w:hAnsi="华文仿宋" w:eastAsia="华文仿宋" w:cs="华文仿宋"/>
                <w:sz w:val="24"/>
                <w:szCs w:val="24"/>
                <w:lang w:bidi="ar"/>
              </w:rPr>
              <w:t>参加国际组织实习、赴境外学习交流（须为学校相关部门、学院推荐或组织的项目）</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3D9D1">
            <w:pPr>
              <w:widowControl/>
              <w:jc w:val="center"/>
              <w:textAlignment w:val="center"/>
              <w:rPr>
                <w:rFonts w:ascii="华文仿宋" w:hAnsi="华文仿宋" w:eastAsia="华文仿宋" w:cs="华文仿宋"/>
                <w:color w:val="000000"/>
                <w:kern w:val="0"/>
                <w:sz w:val="24"/>
                <w:lang w:bidi="ar"/>
              </w:rPr>
            </w:pPr>
            <w:r>
              <w:rPr>
                <w:rFonts w:hint="eastAsia" w:ascii="华文仿宋" w:hAnsi="华文仿宋" w:eastAsia="华文仿宋" w:cs="华文仿宋"/>
                <w:color w:val="000000"/>
                <w:kern w:val="0"/>
                <w:sz w:val="24"/>
                <w:lang w:bidi="ar"/>
              </w:rPr>
              <w:t>0.5</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000B6">
            <w:pPr>
              <w:widowControl/>
              <w:jc w:val="center"/>
              <w:textAlignment w:val="center"/>
              <w:rPr>
                <w:rFonts w:ascii="华文仿宋" w:hAnsi="华文仿宋" w:eastAsia="华文仿宋" w:cs="华文仿宋"/>
                <w:color w:val="000000"/>
                <w:kern w:val="0"/>
                <w:sz w:val="24"/>
                <w:lang w:bidi="ar"/>
              </w:rPr>
            </w:pPr>
            <w:r>
              <w:rPr>
                <w:rFonts w:hint="eastAsia" w:ascii="华文仿宋" w:hAnsi="华文仿宋" w:eastAsia="华文仿宋" w:cs="华文仿宋"/>
                <w:color w:val="000000"/>
                <w:kern w:val="0"/>
                <w:szCs w:val="21"/>
                <w:lang w:bidi="ar"/>
              </w:rPr>
              <w:t>此项上限0.5分</w:t>
            </w:r>
          </w:p>
        </w:tc>
      </w:tr>
      <w:tr w14:paraId="31FD7374">
        <w:tblPrEx>
          <w:tblCellMar>
            <w:top w:w="0" w:type="dxa"/>
            <w:left w:w="108" w:type="dxa"/>
            <w:bottom w:w="0" w:type="dxa"/>
            <w:right w:w="108" w:type="dxa"/>
          </w:tblCellMar>
        </w:tblPrEx>
        <w:trPr>
          <w:trHeight w:val="510" w:hRule="atLeast"/>
          <w:jc w:val="center"/>
        </w:trPr>
        <w:tc>
          <w:tcPr>
            <w:tcW w:w="781" w:type="dxa"/>
            <w:vMerge w:val="continue"/>
            <w:tcBorders>
              <w:left w:val="single" w:color="000000" w:sz="4" w:space="0"/>
              <w:bottom w:val="single" w:color="auto" w:sz="4" w:space="0"/>
              <w:right w:val="single" w:color="000000" w:sz="4" w:space="0"/>
            </w:tcBorders>
            <w:shd w:val="clear" w:color="auto" w:fill="auto"/>
            <w:vAlign w:val="center"/>
          </w:tcPr>
          <w:p w14:paraId="47D476B2">
            <w:pPr>
              <w:spacing w:line="0" w:lineRule="atLeast"/>
              <w:jc w:val="center"/>
              <w:rPr>
                <w:rFonts w:ascii="华文仿宋" w:hAnsi="华文仿宋" w:eastAsia="华文仿宋" w:cs="华文仿宋"/>
                <w:b/>
                <w:bCs/>
                <w:color w:val="000000"/>
                <w:sz w:val="24"/>
              </w:rPr>
            </w:pPr>
          </w:p>
        </w:tc>
        <w:tc>
          <w:tcPr>
            <w:tcW w:w="4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F57D1">
            <w:pPr>
              <w:widowControl/>
              <w:spacing w:line="0" w:lineRule="atLeast"/>
              <w:jc w:val="left"/>
              <w:textAlignment w:val="center"/>
              <w:rPr>
                <w:rStyle w:val="28"/>
                <w:rFonts w:hint="default" w:ascii="华文仿宋" w:hAnsi="华文仿宋" w:eastAsia="华文仿宋" w:cs="华文仿宋"/>
                <w:sz w:val="24"/>
                <w:szCs w:val="24"/>
                <w:lang w:bidi="ar"/>
              </w:rPr>
            </w:pPr>
            <w:r>
              <w:rPr>
                <w:rStyle w:val="28"/>
                <w:rFonts w:hint="default" w:ascii="华文仿宋" w:hAnsi="华文仿宋" w:eastAsia="华文仿宋" w:cs="华文仿宋"/>
                <w:sz w:val="24"/>
                <w:szCs w:val="24"/>
                <w:lang w:bidi="ar"/>
              </w:rPr>
              <w:t>六级 425-524 分；托福 72-94 分；雅思 5.5-6.4；GRE 成绩 280-299 分</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DA073">
            <w:pPr>
              <w:widowControl/>
              <w:jc w:val="center"/>
              <w:textAlignment w:val="center"/>
              <w:rPr>
                <w:rFonts w:ascii="华文仿宋" w:hAnsi="华文仿宋" w:eastAsia="华文仿宋" w:cs="华文仿宋"/>
                <w:color w:val="000000"/>
                <w:kern w:val="0"/>
                <w:sz w:val="24"/>
                <w:lang w:bidi="ar"/>
              </w:rPr>
            </w:pPr>
            <w:r>
              <w:rPr>
                <w:rFonts w:hint="eastAsia" w:ascii="华文仿宋" w:hAnsi="华文仿宋" w:eastAsia="华文仿宋" w:cs="华文仿宋"/>
                <w:color w:val="000000"/>
                <w:kern w:val="0"/>
                <w:sz w:val="24"/>
                <w:lang w:bidi="ar"/>
              </w:rPr>
              <w:t>0.5</w:t>
            </w:r>
          </w:p>
        </w:tc>
        <w:tc>
          <w:tcPr>
            <w:tcW w:w="3435" w:type="dxa"/>
            <w:vMerge w:val="restart"/>
            <w:tcBorders>
              <w:top w:val="single" w:color="000000" w:sz="4" w:space="0"/>
              <w:left w:val="single" w:color="000000" w:sz="4" w:space="0"/>
              <w:right w:val="single" w:color="000000" w:sz="4" w:space="0"/>
            </w:tcBorders>
            <w:shd w:val="clear" w:color="auto" w:fill="auto"/>
            <w:vAlign w:val="center"/>
          </w:tcPr>
          <w:p w14:paraId="58BFF33E">
            <w:pPr>
              <w:widowControl/>
              <w:jc w:val="center"/>
              <w:textAlignment w:val="center"/>
              <w:rPr>
                <w:rFonts w:ascii="华文仿宋" w:hAnsi="华文仿宋" w:eastAsia="华文仿宋" w:cs="华文仿宋"/>
                <w:color w:val="000000"/>
                <w:kern w:val="0"/>
                <w:sz w:val="24"/>
                <w:lang w:bidi="ar"/>
              </w:rPr>
            </w:pPr>
            <w:r>
              <w:rPr>
                <w:rFonts w:hint="eastAsia" w:ascii="华文仿宋" w:hAnsi="华文仿宋" w:eastAsia="华文仿宋" w:cs="华文仿宋"/>
                <w:color w:val="000000"/>
                <w:kern w:val="0"/>
                <w:szCs w:val="21"/>
                <w:lang w:bidi="ar"/>
              </w:rPr>
              <w:t>同类考试以单项最高得分记分，上限为1分。</w:t>
            </w:r>
          </w:p>
        </w:tc>
      </w:tr>
      <w:tr w14:paraId="756FA82A">
        <w:tblPrEx>
          <w:tblCellMar>
            <w:top w:w="0" w:type="dxa"/>
            <w:left w:w="108" w:type="dxa"/>
            <w:bottom w:w="0" w:type="dxa"/>
            <w:right w:w="108" w:type="dxa"/>
          </w:tblCellMar>
        </w:tblPrEx>
        <w:trPr>
          <w:trHeight w:val="510" w:hRule="atLeast"/>
          <w:jc w:val="center"/>
        </w:trPr>
        <w:tc>
          <w:tcPr>
            <w:tcW w:w="781" w:type="dxa"/>
            <w:vMerge w:val="continue"/>
            <w:tcBorders>
              <w:left w:val="single" w:color="000000" w:sz="4" w:space="0"/>
              <w:bottom w:val="single" w:color="auto" w:sz="4" w:space="0"/>
              <w:right w:val="single" w:color="000000" w:sz="4" w:space="0"/>
            </w:tcBorders>
            <w:shd w:val="clear" w:color="auto" w:fill="auto"/>
            <w:vAlign w:val="center"/>
          </w:tcPr>
          <w:p w14:paraId="0165AFF6">
            <w:pPr>
              <w:spacing w:line="0" w:lineRule="atLeast"/>
              <w:jc w:val="center"/>
              <w:rPr>
                <w:rFonts w:ascii="华文仿宋" w:hAnsi="华文仿宋" w:eastAsia="华文仿宋" w:cs="华文仿宋"/>
                <w:b/>
                <w:bCs/>
                <w:color w:val="000000"/>
                <w:sz w:val="24"/>
              </w:rPr>
            </w:pPr>
          </w:p>
        </w:tc>
        <w:tc>
          <w:tcPr>
            <w:tcW w:w="4545" w:type="dxa"/>
            <w:tcBorders>
              <w:top w:val="single" w:color="000000" w:sz="4" w:space="0"/>
              <w:left w:val="single" w:color="000000" w:sz="4" w:space="0"/>
              <w:bottom w:val="single" w:color="auto" w:sz="4" w:space="0"/>
              <w:right w:val="single" w:color="000000" w:sz="4" w:space="0"/>
            </w:tcBorders>
            <w:shd w:val="clear" w:color="auto" w:fill="auto"/>
            <w:vAlign w:val="center"/>
          </w:tcPr>
          <w:p w14:paraId="04752958">
            <w:pPr>
              <w:widowControl/>
              <w:spacing w:line="0" w:lineRule="atLeast"/>
              <w:jc w:val="left"/>
              <w:textAlignment w:val="center"/>
              <w:rPr>
                <w:rStyle w:val="28"/>
                <w:rFonts w:hint="default" w:ascii="华文仿宋" w:hAnsi="华文仿宋" w:eastAsia="华文仿宋" w:cs="华文仿宋"/>
                <w:sz w:val="24"/>
                <w:szCs w:val="24"/>
                <w:lang w:bidi="ar"/>
              </w:rPr>
            </w:pPr>
            <w:r>
              <w:rPr>
                <w:rStyle w:val="28"/>
                <w:rFonts w:hint="default" w:ascii="华文仿宋" w:hAnsi="华文仿宋" w:eastAsia="华文仿宋" w:cs="华文仿宋"/>
                <w:sz w:val="24"/>
                <w:szCs w:val="24"/>
                <w:lang w:bidi="ar"/>
              </w:rPr>
              <w:t>六级 525 分以上；托福 95 分以上；雅思 6.5 分及以上； GRE 成绩 300 分及以上</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B55C">
            <w:pPr>
              <w:widowControl/>
              <w:jc w:val="center"/>
              <w:textAlignment w:val="center"/>
              <w:rPr>
                <w:rFonts w:ascii="华文仿宋" w:hAnsi="华文仿宋" w:eastAsia="华文仿宋" w:cs="华文仿宋"/>
                <w:color w:val="000000"/>
                <w:kern w:val="0"/>
                <w:sz w:val="24"/>
                <w:lang w:bidi="ar"/>
              </w:rPr>
            </w:pPr>
            <w:r>
              <w:rPr>
                <w:rFonts w:hint="eastAsia" w:ascii="华文仿宋" w:hAnsi="华文仿宋" w:eastAsia="华文仿宋" w:cs="华文仿宋"/>
                <w:color w:val="000000"/>
                <w:kern w:val="0"/>
                <w:sz w:val="24"/>
                <w:lang w:bidi="ar"/>
              </w:rPr>
              <w:t>1</w:t>
            </w:r>
          </w:p>
        </w:tc>
        <w:tc>
          <w:tcPr>
            <w:tcW w:w="3435" w:type="dxa"/>
            <w:vMerge w:val="continue"/>
            <w:tcBorders>
              <w:left w:val="single" w:color="000000" w:sz="4" w:space="0"/>
              <w:bottom w:val="single" w:color="000000" w:sz="4" w:space="0"/>
              <w:right w:val="single" w:color="000000" w:sz="4" w:space="0"/>
            </w:tcBorders>
            <w:shd w:val="clear" w:color="auto" w:fill="auto"/>
            <w:vAlign w:val="center"/>
          </w:tcPr>
          <w:p w14:paraId="2D451603">
            <w:pPr>
              <w:widowControl/>
              <w:jc w:val="center"/>
              <w:textAlignment w:val="center"/>
              <w:rPr>
                <w:rFonts w:ascii="华文仿宋" w:hAnsi="华文仿宋" w:eastAsia="华文仿宋" w:cs="华文仿宋"/>
                <w:color w:val="000000"/>
                <w:kern w:val="0"/>
                <w:sz w:val="24"/>
                <w:lang w:bidi="ar"/>
              </w:rPr>
            </w:pPr>
          </w:p>
        </w:tc>
      </w:tr>
      <w:tr w14:paraId="4E170968">
        <w:tblPrEx>
          <w:tblCellMar>
            <w:top w:w="0" w:type="dxa"/>
            <w:left w:w="108" w:type="dxa"/>
            <w:bottom w:w="0" w:type="dxa"/>
            <w:right w:w="108" w:type="dxa"/>
          </w:tblCellMar>
        </w:tblPrEx>
        <w:trPr>
          <w:trHeight w:val="510" w:hRule="atLeast"/>
          <w:jc w:val="center"/>
        </w:trPr>
        <w:tc>
          <w:tcPr>
            <w:tcW w:w="781" w:type="dxa"/>
            <w:tcBorders>
              <w:top w:val="single" w:color="auto" w:sz="4" w:space="0"/>
              <w:left w:val="single" w:color="000000" w:sz="4" w:space="0"/>
              <w:bottom w:val="single" w:color="000000" w:sz="4" w:space="0"/>
              <w:right w:val="single" w:color="000000" w:sz="4" w:space="0"/>
            </w:tcBorders>
            <w:shd w:val="clear" w:color="auto" w:fill="auto"/>
            <w:vAlign w:val="center"/>
          </w:tcPr>
          <w:p w14:paraId="6E874E31">
            <w:pPr>
              <w:spacing w:line="0" w:lineRule="atLeast"/>
              <w:jc w:val="center"/>
              <w:rPr>
                <w:rFonts w:ascii="华文仿宋" w:hAnsi="华文仿宋" w:eastAsia="华文仿宋" w:cs="华文仿宋"/>
                <w:b/>
                <w:bCs/>
                <w:color w:val="000000"/>
                <w:sz w:val="24"/>
              </w:rPr>
            </w:pPr>
            <w:r>
              <w:rPr>
                <w:rFonts w:hint="eastAsia" w:ascii="华文仿宋" w:hAnsi="华文仿宋" w:eastAsia="华文仿宋" w:cs="华文仿宋"/>
                <w:b/>
                <w:bCs/>
                <w:color w:val="000000"/>
                <w:sz w:val="24"/>
              </w:rPr>
              <w:t>服兵役</w:t>
            </w:r>
          </w:p>
        </w:tc>
        <w:tc>
          <w:tcPr>
            <w:tcW w:w="4545" w:type="dxa"/>
            <w:tcBorders>
              <w:top w:val="single" w:color="auto" w:sz="4" w:space="0"/>
              <w:left w:val="single" w:color="000000" w:sz="4" w:space="0"/>
              <w:bottom w:val="single" w:color="000000" w:sz="4" w:space="0"/>
              <w:right w:val="single" w:color="000000" w:sz="4" w:space="0"/>
            </w:tcBorders>
            <w:shd w:val="clear" w:color="auto" w:fill="auto"/>
            <w:vAlign w:val="center"/>
          </w:tcPr>
          <w:p w14:paraId="495F604B">
            <w:pPr>
              <w:widowControl/>
              <w:spacing w:line="0" w:lineRule="atLeast"/>
              <w:jc w:val="left"/>
              <w:textAlignment w:val="center"/>
              <w:rPr>
                <w:rStyle w:val="28"/>
                <w:rFonts w:hint="default" w:ascii="华文仿宋" w:hAnsi="华文仿宋" w:eastAsia="华文仿宋" w:cs="华文仿宋"/>
                <w:sz w:val="24"/>
                <w:szCs w:val="24"/>
                <w:lang w:bidi="ar"/>
              </w:rPr>
            </w:pPr>
            <w:r>
              <w:rPr>
                <w:rStyle w:val="28"/>
                <w:rFonts w:hint="default" w:ascii="华文仿宋" w:hAnsi="华文仿宋" w:eastAsia="华文仿宋" w:cs="华文仿宋"/>
                <w:sz w:val="24"/>
                <w:szCs w:val="24"/>
                <w:lang w:bidi="ar"/>
              </w:rPr>
              <w:t>完成服役的退役复学学生</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320B0">
            <w:pPr>
              <w:widowControl/>
              <w:jc w:val="center"/>
              <w:textAlignment w:val="center"/>
              <w:rPr>
                <w:rFonts w:ascii="华文仿宋" w:hAnsi="华文仿宋" w:eastAsia="华文仿宋" w:cs="华文仿宋"/>
                <w:color w:val="000000"/>
                <w:kern w:val="0"/>
                <w:sz w:val="24"/>
                <w:lang w:bidi="ar"/>
              </w:rPr>
            </w:pPr>
            <w:r>
              <w:rPr>
                <w:rFonts w:hint="eastAsia" w:ascii="华文仿宋" w:hAnsi="华文仿宋" w:eastAsia="华文仿宋" w:cs="华文仿宋"/>
                <w:color w:val="000000"/>
                <w:kern w:val="0"/>
                <w:sz w:val="24"/>
                <w:lang w:bidi="ar"/>
              </w:rPr>
              <w:t>2</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D5604">
            <w:pPr>
              <w:widowControl/>
              <w:jc w:val="center"/>
              <w:textAlignment w:val="center"/>
              <w:rPr>
                <w:rFonts w:ascii="华文仿宋" w:hAnsi="华文仿宋" w:eastAsia="华文仿宋" w:cs="华文仿宋"/>
                <w:color w:val="000000"/>
                <w:kern w:val="0"/>
                <w:sz w:val="24"/>
                <w:lang w:bidi="ar"/>
              </w:rPr>
            </w:pPr>
            <w:r>
              <w:rPr>
                <w:rFonts w:hint="eastAsia" w:ascii="华文仿宋" w:hAnsi="华文仿宋" w:eastAsia="华文仿宋" w:cs="华文仿宋"/>
                <w:color w:val="000000"/>
                <w:kern w:val="0"/>
                <w:sz w:val="24"/>
                <w:lang w:bidi="ar"/>
              </w:rPr>
              <w:t>/</w:t>
            </w:r>
          </w:p>
        </w:tc>
      </w:tr>
    </w:tbl>
    <w:p w14:paraId="5EB7449E">
      <w:pPr>
        <w:widowControl/>
        <w:adjustRightInd w:val="0"/>
        <w:snapToGrid w:val="0"/>
        <w:spacing w:line="360" w:lineRule="auto"/>
        <w:ind w:firstLine="300" w:firstLineChars="200"/>
        <w:jc w:val="center"/>
        <w:rPr>
          <w:rFonts w:ascii="仿宋" w:hAnsi="仿宋" w:eastAsia="仿宋" w:cs="仿宋_GB2312"/>
          <w:color w:val="000000"/>
          <w:kern w:val="0"/>
          <w:sz w:val="15"/>
          <w:szCs w:val="15"/>
        </w:rPr>
      </w:pPr>
    </w:p>
    <w:p w14:paraId="7B6F1478">
      <w:pPr>
        <w:adjustRightInd w:val="0"/>
        <w:snapToGrid w:val="0"/>
        <w:spacing w:line="360" w:lineRule="auto"/>
        <w:rPr>
          <w:rFonts w:ascii="仿宋" w:hAnsi="仿宋" w:eastAsia="仿宋" w:cs="黑体"/>
          <w:b/>
          <w:bCs/>
          <w:sz w:val="28"/>
          <w:szCs w:val="28"/>
        </w:rPr>
      </w:pPr>
      <w:r>
        <w:rPr>
          <w:rFonts w:hint="eastAsia" w:ascii="仿宋" w:hAnsi="仿宋" w:eastAsia="仿宋" w:cs="仿宋_GB2312"/>
          <w:b/>
          <w:bCs/>
          <w:color w:val="000000"/>
          <w:kern w:val="0"/>
          <w:sz w:val="28"/>
          <w:szCs w:val="28"/>
        </w:rPr>
        <w:t xml:space="preserve">    </w:t>
      </w:r>
      <w:r>
        <w:rPr>
          <w:rFonts w:hint="eastAsia" w:ascii="仿宋" w:hAnsi="仿宋" w:eastAsia="仿宋" w:cs="仿宋_GB2312"/>
          <w:b/>
          <w:bCs/>
          <w:color w:val="000000"/>
          <w:kern w:val="0"/>
          <w:sz w:val="28"/>
          <w:szCs w:val="28"/>
          <w:lang w:val="en-US" w:eastAsia="zh-CN"/>
        </w:rPr>
        <w:t>五</w:t>
      </w:r>
      <w:r>
        <w:rPr>
          <w:rFonts w:hint="eastAsia" w:ascii="仿宋" w:hAnsi="仿宋" w:eastAsia="仿宋" w:cs="黑体"/>
          <w:b/>
          <w:bCs/>
          <w:sz w:val="28"/>
          <w:szCs w:val="28"/>
        </w:rPr>
        <w:t>、工作程序</w:t>
      </w:r>
    </w:p>
    <w:p w14:paraId="25FA5E62">
      <w:pPr>
        <w:widowControl/>
        <w:adjustRightInd w:val="0"/>
        <w:snapToGrid w:val="0"/>
        <w:spacing w:line="360" w:lineRule="auto"/>
        <w:ind w:firstLine="560" w:firstLineChars="200"/>
        <w:rPr>
          <w:rFonts w:ascii="仿宋" w:hAnsi="仿宋" w:eastAsia="仿宋" w:cs="仿宋_GB2312"/>
          <w:color w:val="000000"/>
          <w:kern w:val="0"/>
          <w:sz w:val="28"/>
          <w:szCs w:val="28"/>
        </w:rPr>
      </w:pPr>
      <w:r>
        <w:rPr>
          <w:rFonts w:hint="eastAsia" w:ascii="仿宋" w:hAnsi="仿宋" w:eastAsia="仿宋" w:cs="仿宋_GB2312"/>
          <w:kern w:val="0"/>
          <w:sz w:val="28"/>
          <w:szCs w:val="28"/>
        </w:rPr>
        <w:t>（一）</w:t>
      </w:r>
      <w:r>
        <w:rPr>
          <w:rFonts w:hint="eastAsia" w:ascii="仿宋" w:hAnsi="仿宋" w:eastAsia="仿宋" w:cs="仿宋_GB2312"/>
          <w:color w:val="000000"/>
          <w:kern w:val="0"/>
          <w:sz w:val="28"/>
          <w:szCs w:val="28"/>
        </w:rPr>
        <w:t>学生申请：学院根据学校安排公布工作通知，符合条件的学生自主在规定时间内按要求向学院推免生遴选工作小组提交相关申报材料；逾期未能提交相关材料的视为自愿放弃推免申请或相关项目计分申请。</w:t>
      </w:r>
    </w:p>
    <w:p w14:paraId="72C6C6BE">
      <w:pPr>
        <w:widowControl/>
        <w:adjustRightInd w:val="0"/>
        <w:snapToGrid w:val="0"/>
        <w:spacing w:line="360" w:lineRule="auto"/>
        <w:ind w:firstLine="560" w:firstLineChars="200"/>
        <w:rPr>
          <w:rFonts w:ascii="仿宋" w:hAnsi="仿宋" w:eastAsia="仿宋" w:cs="仿宋_GB2312"/>
          <w:color w:val="000000"/>
          <w:kern w:val="0"/>
          <w:sz w:val="28"/>
          <w:szCs w:val="28"/>
        </w:rPr>
      </w:pPr>
      <w:r>
        <w:rPr>
          <w:rFonts w:hint="eastAsia" w:ascii="仿宋" w:hAnsi="仿宋" w:eastAsia="仿宋" w:cs="仿宋_GB2312"/>
          <w:kern w:val="0"/>
          <w:sz w:val="28"/>
          <w:szCs w:val="28"/>
        </w:rPr>
        <w:t>（二）</w:t>
      </w:r>
      <w:r>
        <w:rPr>
          <w:rFonts w:hint="eastAsia" w:ascii="仿宋" w:hAnsi="仿宋" w:eastAsia="仿宋" w:cs="仿宋_GB2312"/>
          <w:color w:val="000000"/>
          <w:kern w:val="0"/>
          <w:sz w:val="28"/>
          <w:szCs w:val="28"/>
        </w:rPr>
        <w:t>学院审核：学院对申请学生进行审核。</w:t>
      </w:r>
    </w:p>
    <w:p w14:paraId="7D324205">
      <w:pPr>
        <w:widowControl/>
        <w:adjustRightInd w:val="0"/>
        <w:snapToGrid w:val="0"/>
        <w:spacing w:line="360" w:lineRule="auto"/>
        <w:ind w:firstLine="560" w:firstLineChars="200"/>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1、思想品德考核由学院党委副书记、全院辅导员、班主任等组成的小组对申请学生的思想品行进行全面考察和评审；</w:t>
      </w:r>
    </w:p>
    <w:p w14:paraId="14A38647">
      <w:pPr>
        <w:widowControl/>
        <w:adjustRightInd w:val="0"/>
        <w:snapToGrid w:val="0"/>
        <w:spacing w:line="360" w:lineRule="auto"/>
        <w:ind w:firstLine="560" w:firstLineChars="200"/>
        <w:rPr>
          <w:rFonts w:hint="default" w:ascii="仿宋" w:hAnsi="仿宋" w:eastAsia="仿宋" w:cs="仿宋_GB2312"/>
          <w:color w:val="000000"/>
          <w:kern w:val="0"/>
          <w:sz w:val="28"/>
          <w:szCs w:val="28"/>
          <w:lang w:val="en-US" w:eastAsia="zh-CN"/>
        </w:rPr>
      </w:pPr>
      <w:r>
        <w:rPr>
          <w:rFonts w:hint="eastAsia" w:ascii="仿宋" w:hAnsi="仿宋" w:eastAsia="仿宋" w:cs="仿宋_GB2312"/>
          <w:color w:val="000000"/>
          <w:kern w:val="0"/>
          <w:sz w:val="28"/>
          <w:szCs w:val="28"/>
        </w:rPr>
        <w:t>2、资格审核。推免生遴选工作小组和专家审核小组按照本学院推免工作实施细则要求，审验相关证明材料，进行资格审查。</w:t>
      </w:r>
      <w:r>
        <w:rPr>
          <w:rFonts w:hint="eastAsia" w:ascii="仿宋" w:hAnsi="仿宋" w:eastAsia="仿宋" w:cs="仿宋_GB2312"/>
          <w:color w:val="000000"/>
          <w:kern w:val="0"/>
          <w:sz w:val="28"/>
          <w:szCs w:val="28"/>
          <w:lang w:val="en-US" w:eastAsia="zh-CN"/>
        </w:rPr>
        <w:t>资格审查合格后全部进入综合评价。</w:t>
      </w:r>
    </w:p>
    <w:p w14:paraId="66836891">
      <w:pPr>
        <w:widowControl/>
        <w:adjustRightInd w:val="0"/>
        <w:snapToGrid w:val="0"/>
        <w:spacing w:line="360" w:lineRule="auto"/>
        <w:ind w:firstLine="560" w:firstLineChars="200"/>
        <w:rPr>
          <w:rFonts w:ascii="仿宋" w:hAnsi="仿宋" w:eastAsia="仿宋" w:cs="仿宋_GB2312"/>
          <w:color w:val="000000"/>
          <w:kern w:val="0"/>
          <w:sz w:val="28"/>
          <w:szCs w:val="28"/>
        </w:rPr>
      </w:pPr>
      <w:r>
        <w:rPr>
          <w:rFonts w:ascii="仿宋" w:hAnsi="仿宋" w:eastAsia="仿宋" w:cs="仿宋_GB2312"/>
          <w:color w:val="000000"/>
          <w:kern w:val="0"/>
          <w:sz w:val="28"/>
          <w:szCs w:val="28"/>
        </w:rPr>
        <w:t>3</w:t>
      </w:r>
      <w:r>
        <w:rPr>
          <w:rFonts w:hint="eastAsia" w:ascii="仿宋" w:hAnsi="仿宋" w:eastAsia="仿宋" w:cs="仿宋_GB2312"/>
          <w:color w:val="000000"/>
          <w:kern w:val="0"/>
          <w:sz w:val="28"/>
          <w:szCs w:val="28"/>
        </w:rPr>
        <w:t>、综合评价由学院推免生遵选工作小组按照本学院推免工作实施细则要求，进行综合评价，审验相关证明材料。确定综合评价成绩，并从高分到低分进行排序: 同分情况下，以绩点排序，绩点高者优先。按学校下达推免指标的 1.2 倍确定拟推荐名单(按分配指标确定正式推荐名单，按分配指标的 0.2倍确定候补推荐名单，候补名单由学院排出先后排序 )，同时将有关记录保存备查。</w:t>
      </w:r>
    </w:p>
    <w:p w14:paraId="22ECCB45">
      <w:pPr>
        <w:widowControl/>
        <w:adjustRightInd w:val="0"/>
        <w:snapToGrid w:val="0"/>
        <w:spacing w:line="360" w:lineRule="auto"/>
        <w:ind w:firstLine="560" w:firstLineChars="200"/>
        <w:rPr>
          <w:rFonts w:ascii="仿宋" w:hAnsi="仿宋" w:eastAsia="仿宋" w:cs="仿宋_GB2312"/>
          <w:color w:val="000000"/>
          <w:kern w:val="0"/>
          <w:sz w:val="28"/>
          <w:szCs w:val="28"/>
        </w:rPr>
      </w:pPr>
      <w:r>
        <w:rPr>
          <w:rFonts w:hint="eastAsia" w:ascii="仿宋" w:hAnsi="仿宋" w:eastAsia="仿宋" w:cs="仿宋_GB2312"/>
          <w:kern w:val="0"/>
          <w:sz w:val="28"/>
          <w:szCs w:val="28"/>
        </w:rPr>
        <w:t>（三）</w:t>
      </w:r>
      <w:r>
        <w:rPr>
          <w:rFonts w:hint="eastAsia" w:ascii="仿宋" w:hAnsi="仿宋" w:eastAsia="仿宋" w:cs="仿宋_GB2312"/>
          <w:color w:val="000000"/>
          <w:kern w:val="0"/>
          <w:sz w:val="28"/>
          <w:szCs w:val="28"/>
        </w:rPr>
        <w:t>公示：经学院推免生遴选工作小组审核后，拟推荐结果在院内公示3</w:t>
      </w:r>
      <w:r>
        <w:rPr>
          <w:rFonts w:hint="eastAsia" w:ascii="仿宋" w:hAnsi="仿宋" w:eastAsia="仿宋" w:cs="仿宋_GB2312"/>
          <w:color w:val="000000"/>
          <w:kern w:val="0"/>
          <w:sz w:val="28"/>
          <w:szCs w:val="28"/>
          <w:lang w:val="en-US" w:eastAsia="zh-CN"/>
        </w:rPr>
        <w:t>天</w:t>
      </w:r>
      <w:r>
        <w:rPr>
          <w:rFonts w:hint="eastAsia" w:ascii="仿宋" w:hAnsi="仿宋" w:eastAsia="仿宋" w:cs="仿宋_GB2312"/>
          <w:color w:val="000000"/>
          <w:kern w:val="0"/>
          <w:sz w:val="28"/>
          <w:szCs w:val="28"/>
        </w:rPr>
        <w:t>。公示无异议后报送学校推免工作领导小组审定，学校将审定通过的推免生名单进行公示。</w:t>
      </w:r>
    </w:p>
    <w:p w14:paraId="06BEDDD0">
      <w:pPr>
        <w:widowControl/>
        <w:adjustRightInd w:val="0"/>
        <w:snapToGrid w:val="0"/>
        <w:spacing w:line="360" w:lineRule="auto"/>
        <w:ind w:firstLine="560" w:firstLineChars="200"/>
        <w:rPr>
          <w:rFonts w:ascii="仿宋" w:hAnsi="仿宋" w:eastAsia="仿宋" w:cs="仿宋_GB2312"/>
          <w:kern w:val="0"/>
          <w:sz w:val="28"/>
          <w:szCs w:val="28"/>
        </w:rPr>
      </w:pPr>
      <w:r>
        <w:rPr>
          <w:rFonts w:hint="eastAsia" w:ascii="仿宋" w:hAnsi="仿宋" w:eastAsia="仿宋" w:cs="仿宋_GB2312"/>
          <w:kern w:val="0"/>
          <w:sz w:val="28"/>
          <w:szCs w:val="28"/>
        </w:rPr>
        <w:t>（四）</w:t>
      </w:r>
      <w:r>
        <w:rPr>
          <w:rFonts w:hint="eastAsia" w:ascii="仿宋" w:hAnsi="仿宋" w:eastAsia="仿宋" w:cs="仿宋_GB2312"/>
          <w:color w:val="000000"/>
          <w:kern w:val="0"/>
          <w:sz w:val="28"/>
          <w:szCs w:val="28"/>
        </w:rPr>
        <w:t>申诉：如对学院结果有异议的，可在公示期内实名向</w:t>
      </w:r>
      <w:r>
        <w:rPr>
          <w:rFonts w:hint="eastAsia" w:ascii="仿宋" w:hAnsi="仿宋" w:eastAsia="仿宋" w:cs="仿宋_GB2312"/>
          <w:kern w:val="0"/>
          <w:sz w:val="28"/>
          <w:szCs w:val="28"/>
        </w:rPr>
        <w:t>学院工作领导小组申诉</w:t>
      </w:r>
      <w:r>
        <w:rPr>
          <w:rFonts w:hint="eastAsia" w:ascii="仿宋" w:hAnsi="仿宋" w:eastAsia="仿宋" w:cs="仿宋_GB2312"/>
          <w:color w:val="000000"/>
          <w:kern w:val="0"/>
          <w:sz w:val="28"/>
          <w:szCs w:val="28"/>
        </w:rPr>
        <w:t>。</w:t>
      </w:r>
    </w:p>
    <w:p w14:paraId="6641DF9B">
      <w:pPr>
        <w:adjustRightInd w:val="0"/>
        <w:snapToGrid w:val="0"/>
        <w:spacing w:line="360" w:lineRule="auto"/>
        <w:ind w:firstLine="562" w:firstLineChars="200"/>
        <w:rPr>
          <w:rFonts w:ascii="仿宋" w:hAnsi="仿宋" w:eastAsia="仿宋" w:cs="黑体"/>
          <w:b/>
          <w:bCs/>
          <w:sz w:val="28"/>
          <w:szCs w:val="28"/>
        </w:rPr>
      </w:pPr>
      <w:r>
        <w:rPr>
          <w:rFonts w:hint="eastAsia" w:ascii="仿宋" w:hAnsi="仿宋" w:eastAsia="仿宋" w:cs="黑体"/>
          <w:b/>
          <w:bCs/>
          <w:sz w:val="28"/>
          <w:szCs w:val="28"/>
          <w:lang w:val="en-US" w:eastAsia="zh-CN"/>
        </w:rPr>
        <w:t>六</w:t>
      </w:r>
      <w:r>
        <w:rPr>
          <w:rFonts w:hint="eastAsia" w:ascii="仿宋" w:hAnsi="仿宋" w:eastAsia="仿宋" w:cs="黑体"/>
          <w:b/>
          <w:bCs/>
          <w:sz w:val="28"/>
          <w:szCs w:val="28"/>
        </w:rPr>
        <w:t>、本细则最终由华南农业大学园艺学院负责解释。</w:t>
      </w:r>
    </w:p>
    <w:p w14:paraId="61668DA9">
      <w:pPr>
        <w:adjustRightInd w:val="0"/>
        <w:snapToGrid w:val="0"/>
        <w:spacing w:line="300" w:lineRule="auto"/>
        <w:ind w:firstLine="480" w:firstLineChars="200"/>
        <w:rPr>
          <w:rFonts w:ascii="仿宋" w:hAnsi="仿宋" w:eastAsia="仿宋" w:cs="宋体"/>
          <w:sz w:val="24"/>
        </w:rPr>
      </w:pPr>
    </w:p>
    <w:p w14:paraId="1FBD1436">
      <w:pPr>
        <w:adjustRightInd w:val="0"/>
        <w:snapToGrid w:val="0"/>
        <w:spacing w:line="300" w:lineRule="auto"/>
        <w:ind w:firstLine="480" w:firstLineChars="200"/>
        <w:rPr>
          <w:rFonts w:ascii="仿宋" w:hAnsi="仿宋" w:eastAsia="仿宋" w:cs="宋体"/>
          <w:sz w:val="24"/>
        </w:rPr>
      </w:pPr>
    </w:p>
    <w:p w14:paraId="4FA40C5B">
      <w:pPr>
        <w:widowControl/>
        <w:spacing w:line="360" w:lineRule="auto"/>
        <w:ind w:right="106" w:firstLine="560" w:firstLineChars="200"/>
        <w:jc w:val="right"/>
        <w:rPr>
          <w:rFonts w:ascii="仿宋" w:hAnsi="仿宋" w:eastAsia="仿宋" w:cs="宋体"/>
          <w:kern w:val="0"/>
          <w:sz w:val="28"/>
          <w:szCs w:val="28"/>
        </w:rPr>
      </w:pPr>
      <w:r>
        <w:rPr>
          <w:rFonts w:hint="eastAsia" w:ascii="仿宋" w:hAnsi="仿宋" w:eastAsia="仿宋" w:cs="宋体"/>
          <w:kern w:val="0"/>
          <w:sz w:val="28"/>
          <w:szCs w:val="28"/>
        </w:rPr>
        <w:t>华南农业大学园艺学院</w:t>
      </w:r>
    </w:p>
    <w:p w14:paraId="359FA8EF">
      <w:pPr>
        <w:widowControl/>
        <w:wordWrap w:val="0"/>
        <w:spacing w:line="360" w:lineRule="auto"/>
        <w:ind w:right="106" w:firstLine="560" w:firstLineChars="200"/>
        <w:jc w:val="right"/>
        <w:rPr>
          <w:rFonts w:ascii="仿宋" w:hAnsi="仿宋" w:eastAsia="仿宋" w:cs="宋体"/>
          <w:b/>
          <w:bCs/>
          <w:kern w:val="0"/>
          <w:sz w:val="28"/>
          <w:szCs w:val="28"/>
          <w:u w:val="none"/>
        </w:rPr>
      </w:pPr>
      <w:r>
        <w:rPr>
          <w:rFonts w:hint="eastAsia" w:ascii="仿宋" w:hAnsi="仿宋" w:eastAsia="仿宋" w:cs="宋体"/>
          <w:kern w:val="0"/>
          <w:sz w:val="28"/>
          <w:szCs w:val="28"/>
          <w:u w:val="none"/>
        </w:rPr>
        <w:t>202</w:t>
      </w:r>
      <w:r>
        <w:rPr>
          <w:rFonts w:hint="eastAsia" w:ascii="仿宋" w:hAnsi="仿宋" w:eastAsia="仿宋" w:cs="宋体"/>
          <w:kern w:val="0"/>
          <w:sz w:val="28"/>
          <w:szCs w:val="28"/>
          <w:u w:val="none"/>
          <w:lang w:val="en-US" w:eastAsia="zh-CN"/>
        </w:rPr>
        <w:t>5</w:t>
      </w:r>
      <w:r>
        <w:rPr>
          <w:rFonts w:hint="eastAsia" w:ascii="仿宋" w:hAnsi="仿宋" w:eastAsia="仿宋" w:cs="宋体"/>
          <w:kern w:val="0"/>
          <w:sz w:val="28"/>
          <w:szCs w:val="28"/>
          <w:u w:val="none"/>
        </w:rPr>
        <w:t>年</w:t>
      </w:r>
      <w:r>
        <w:rPr>
          <w:rFonts w:hint="eastAsia" w:ascii="仿宋" w:hAnsi="仿宋" w:eastAsia="仿宋" w:cs="宋体"/>
          <w:kern w:val="0"/>
          <w:sz w:val="28"/>
          <w:szCs w:val="28"/>
          <w:u w:val="none"/>
          <w:lang w:val="en-US" w:eastAsia="zh-CN"/>
        </w:rPr>
        <w:t>6</w:t>
      </w:r>
      <w:r>
        <w:rPr>
          <w:rFonts w:hint="eastAsia" w:ascii="仿宋" w:hAnsi="仿宋" w:eastAsia="仿宋" w:cs="宋体"/>
          <w:kern w:val="0"/>
          <w:sz w:val="28"/>
          <w:szCs w:val="28"/>
          <w:u w:val="none"/>
        </w:rPr>
        <w:t>月</w:t>
      </w:r>
      <w:r>
        <w:rPr>
          <w:rFonts w:hint="eastAsia" w:ascii="仿宋" w:hAnsi="仿宋" w:eastAsia="仿宋" w:cs="宋体"/>
          <w:kern w:val="0"/>
          <w:sz w:val="28"/>
          <w:szCs w:val="28"/>
          <w:u w:val="none"/>
          <w:lang w:val="en-US" w:eastAsia="zh-CN"/>
        </w:rPr>
        <w:t>23</w:t>
      </w:r>
      <w:r>
        <w:rPr>
          <w:rFonts w:hint="eastAsia" w:ascii="仿宋" w:hAnsi="仿宋" w:eastAsia="仿宋" w:cs="宋体"/>
          <w:kern w:val="0"/>
          <w:sz w:val="28"/>
          <w:szCs w:val="28"/>
          <w:u w:val="none"/>
        </w:rPr>
        <w:t>日</w:t>
      </w:r>
    </w:p>
    <w:p w14:paraId="500009B3">
      <w:pPr>
        <w:widowControl/>
        <w:spacing w:line="360" w:lineRule="auto"/>
        <w:ind w:right="106" w:firstLine="562" w:firstLineChars="200"/>
        <w:jc w:val="right"/>
        <w:rPr>
          <w:rFonts w:ascii="仿宋" w:hAnsi="仿宋" w:eastAsia="仿宋" w:cs="宋体"/>
          <w:b/>
          <w:bCs/>
          <w:kern w:val="0"/>
          <w:sz w:val="28"/>
          <w:szCs w:val="28"/>
        </w:rPr>
      </w:pPr>
    </w:p>
    <w:p w14:paraId="5A187AFE">
      <w:pPr>
        <w:widowControl/>
        <w:spacing w:line="360" w:lineRule="auto"/>
        <w:ind w:right="106" w:firstLine="562" w:firstLineChars="200"/>
        <w:jc w:val="right"/>
        <w:rPr>
          <w:rFonts w:ascii="仿宋" w:hAnsi="仿宋" w:eastAsia="仿宋" w:cs="宋体"/>
          <w:b/>
          <w:bCs/>
          <w:kern w:val="0"/>
          <w:sz w:val="28"/>
          <w:szCs w:val="28"/>
        </w:rPr>
      </w:pPr>
    </w:p>
    <w:p w14:paraId="42B7BF91">
      <w:pPr>
        <w:widowControl/>
        <w:spacing w:line="360" w:lineRule="auto"/>
        <w:ind w:right="106"/>
        <w:rPr>
          <w:rFonts w:ascii="仿宋" w:hAnsi="仿宋" w:eastAsia="仿宋" w:cs="宋体"/>
          <w:kern w:val="0"/>
          <w:sz w:val="24"/>
          <w:lang w:eastAsia="zh-Hans"/>
        </w:rPr>
      </w:pPr>
    </w:p>
    <w:sectPr>
      <w:footerReference r:id="rId3" w:type="default"/>
      <w:pgSz w:w="11906" w:h="16838"/>
      <w:pgMar w:top="1440" w:right="1310" w:bottom="1440" w:left="131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AAE4BF7-E999-4003-A615-F6D35992F7B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2" w:fontKey="{11CF1F01-16C9-40BC-9F57-E1C389B56277}"/>
  </w:font>
  <w:font w:name="仿宋">
    <w:panose1 w:val="02010609060101010101"/>
    <w:charset w:val="86"/>
    <w:family w:val="modern"/>
    <w:pitch w:val="default"/>
    <w:sig w:usb0="800002BF" w:usb1="38CF7CFA" w:usb2="00000016" w:usb3="00000000" w:csb0="00040001" w:csb1="00000000"/>
    <w:embedRegular r:id="rId3" w:fontKey="{0B97002B-9953-474E-8B38-5A471262F73C}"/>
  </w:font>
  <w:font w:name="仿宋_GB2312">
    <w:panose1 w:val="02010609030101010101"/>
    <w:charset w:val="86"/>
    <w:family w:val="modern"/>
    <w:pitch w:val="default"/>
    <w:sig w:usb0="00000001" w:usb1="080E0000" w:usb2="00000000" w:usb3="00000000" w:csb0="00040000" w:csb1="00000000"/>
    <w:embedRegular r:id="rId4" w:fontKey="{9E0A6EFA-F14C-44A6-BCB9-D623449870F5}"/>
  </w:font>
  <w:font w:name="华文仿宋">
    <w:panose1 w:val="02010600040101010101"/>
    <w:charset w:val="86"/>
    <w:family w:val="auto"/>
    <w:pitch w:val="default"/>
    <w:sig w:usb0="00000287" w:usb1="080F0000" w:usb2="00000000" w:usb3="00000000" w:csb0="0004009F" w:csb1="DFD70000"/>
    <w:embedRegular r:id="rId5" w:fontKey="{C3EBDE53-6B8D-4032-9BDC-FE6114B26FA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EF49A">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1F004AAB">
                          <w:pPr>
                            <w:pStyle w:val="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4vdRNAAAAACAQAADwAAAAAAAAABACAAAAAiAAAAZHJzL2Rvd25yZXYueG1s&#10;UEsBAhQAFAAAAAgAh07iQCtF9nfHAQAAigMAAA4AAAAAAAAAAQAgAAAAHwEAAGRycy9lMm9Eb2Mu&#10;eG1sUEsFBgAAAAAGAAYAWQEAAFgFAAAAAA==&#10;">
              <v:fill on="f" focussize="0,0"/>
              <v:stroke on="f"/>
              <v:imagedata o:title=""/>
              <o:lock v:ext="edit" aspectratio="f"/>
              <v:textbox inset="0mm,0mm,0mm,0mm" style="mso-fit-shape-to-text:t;">
                <w:txbxContent>
                  <w:p w14:paraId="1F004AAB">
                    <w:pPr>
                      <w:pStyle w:val="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BD029E"/>
    <w:multiLevelType w:val="singleLevel"/>
    <w:tmpl w:val="C1BD029E"/>
    <w:lvl w:ilvl="0" w:tentative="0">
      <w:start w:val="2"/>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无忧">
    <w15:presenceInfo w15:providerId="WPS Office" w15:userId="23625428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kZGQ5ZGM2YzI3Y2YxNDkyOWU0YjY5MmJkMzI4NWIifQ=="/>
  </w:docVars>
  <w:rsids>
    <w:rsidRoot w:val="00543677"/>
    <w:rsid w:val="000246F2"/>
    <w:rsid w:val="000308BE"/>
    <w:rsid w:val="00042418"/>
    <w:rsid w:val="00067C74"/>
    <w:rsid w:val="000701F2"/>
    <w:rsid w:val="00073A7C"/>
    <w:rsid w:val="000A6750"/>
    <w:rsid w:val="000C1D4C"/>
    <w:rsid w:val="000C3139"/>
    <w:rsid w:val="000C39C2"/>
    <w:rsid w:val="001541A4"/>
    <w:rsid w:val="00160651"/>
    <w:rsid w:val="00166AD8"/>
    <w:rsid w:val="00181103"/>
    <w:rsid w:val="001871B7"/>
    <w:rsid w:val="001C238F"/>
    <w:rsid w:val="001E037F"/>
    <w:rsid w:val="001F54EA"/>
    <w:rsid w:val="00205B56"/>
    <w:rsid w:val="00234A8F"/>
    <w:rsid w:val="00260A48"/>
    <w:rsid w:val="00282D64"/>
    <w:rsid w:val="00287DF1"/>
    <w:rsid w:val="002914F0"/>
    <w:rsid w:val="002A4B2B"/>
    <w:rsid w:val="002B016A"/>
    <w:rsid w:val="002D13E5"/>
    <w:rsid w:val="002D3BF2"/>
    <w:rsid w:val="002E48C4"/>
    <w:rsid w:val="00304C54"/>
    <w:rsid w:val="00305FA2"/>
    <w:rsid w:val="00306FCA"/>
    <w:rsid w:val="0031464F"/>
    <w:rsid w:val="00330DB3"/>
    <w:rsid w:val="00333479"/>
    <w:rsid w:val="003469D8"/>
    <w:rsid w:val="00372F91"/>
    <w:rsid w:val="003A0BD4"/>
    <w:rsid w:val="003C42FE"/>
    <w:rsid w:val="003F082C"/>
    <w:rsid w:val="00403482"/>
    <w:rsid w:val="00410C25"/>
    <w:rsid w:val="00430F11"/>
    <w:rsid w:val="00444A6A"/>
    <w:rsid w:val="00445187"/>
    <w:rsid w:val="0045428F"/>
    <w:rsid w:val="00466B22"/>
    <w:rsid w:val="004752F5"/>
    <w:rsid w:val="00476E9D"/>
    <w:rsid w:val="00485F02"/>
    <w:rsid w:val="004B15B7"/>
    <w:rsid w:val="004B3317"/>
    <w:rsid w:val="004B5457"/>
    <w:rsid w:val="004C15E3"/>
    <w:rsid w:val="004E28FE"/>
    <w:rsid w:val="005051B7"/>
    <w:rsid w:val="0051735D"/>
    <w:rsid w:val="0051757E"/>
    <w:rsid w:val="00520C64"/>
    <w:rsid w:val="00522009"/>
    <w:rsid w:val="005221C7"/>
    <w:rsid w:val="00534D31"/>
    <w:rsid w:val="00537B90"/>
    <w:rsid w:val="00540E35"/>
    <w:rsid w:val="00543677"/>
    <w:rsid w:val="00550963"/>
    <w:rsid w:val="00554F73"/>
    <w:rsid w:val="00555190"/>
    <w:rsid w:val="0057498F"/>
    <w:rsid w:val="005A2D31"/>
    <w:rsid w:val="005A4149"/>
    <w:rsid w:val="005B1FD9"/>
    <w:rsid w:val="005C0874"/>
    <w:rsid w:val="005C454A"/>
    <w:rsid w:val="005E4A1F"/>
    <w:rsid w:val="005F1912"/>
    <w:rsid w:val="00601C13"/>
    <w:rsid w:val="00601CF9"/>
    <w:rsid w:val="00611DB2"/>
    <w:rsid w:val="00641AA8"/>
    <w:rsid w:val="00663E23"/>
    <w:rsid w:val="00675B51"/>
    <w:rsid w:val="00691502"/>
    <w:rsid w:val="006C50A6"/>
    <w:rsid w:val="006D4DBC"/>
    <w:rsid w:val="006D74A6"/>
    <w:rsid w:val="006D787E"/>
    <w:rsid w:val="006E61F8"/>
    <w:rsid w:val="00713425"/>
    <w:rsid w:val="007147A3"/>
    <w:rsid w:val="007217CC"/>
    <w:rsid w:val="00725931"/>
    <w:rsid w:val="007342FA"/>
    <w:rsid w:val="00740C89"/>
    <w:rsid w:val="007466EA"/>
    <w:rsid w:val="00771E62"/>
    <w:rsid w:val="007813A3"/>
    <w:rsid w:val="0079180A"/>
    <w:rsid w:val="00794747"/>
    <w:rsid w:val="00797B6D"/>
    <w:rsid w:val="007B124E"/>
    <w:rsid w:val="007D3F28"/>
    <w:rsid w:val="0080075F"/>
    <w:rsid w:val="00822F7C"/>
    <w:rsid w:val="00843030"/>
    <w:rsid w:val="00861ED8"/>
    <w:rsid w:val="0086470E"/>
    <w:rsid w:val="00875191"/>
    <w:rsid w:val="00897A2D"/>
    <w:rsid w:val="008C3D78"/>
    <w:rsid w:val="008F2E0B"/>
    <w:rsid w:val="008F6B84"/>
    <w:rsid w:val="00921802"/>
    <w:rsid w:val="00921F49"/>
    <w:rsid w:val="009441CD"/>
    <w:rsid w:val="009448A0"/>
    <w:rsid w:val="0095086C"/>
    <w:rsid w:val="00973132"/>
    <w:rsid w:val="00973FE4"/>
    <w:rsid w:val="009943EE"/>
    <w:rsid w:val="009C03A7"/>
    <w:rsid w:val="009D1E45"/>
    <w:rsid w:val="009E2CD0"/>
    <w:rsid w:val="009E36B3"/>
    <w:rsid w:val="00A158A9"/>
    <w:rsid w:val="00A21A81"/>
    <w:rsid w:val="00A22595"/>
    <w:rsid w:val="00A42D76"/>
    <w:rsid w:val="00A550C0"/>
    <w:rsid w:val="00A55F08"/>
    <w:rsid w:val="00A61B8E"/>
    <w:rsid w:val="00A67A74"/>
    <w:rsid w:val="00A76C23"/>
    <w:rsid w:val="00AF24E4"/>
    <w:rsid w:val="00AF6D40"/>
    <w:rsid w:val="00AF73C3"/>
    <w:rsid w:val="00B02FD0"/>
    <w:rsid w:val="00B057F7"/>
    <w:rsid w:val="00B2080B"/>
    <w:rsid w:val="00B37804"/>
    <w:rsid w:val="00B423E3"/>
    <w:rsid w:val="00B454AB"/>
    <w:rsid w:val="00B62108"/>
    <w:rsid w:val="00B959A7"/>
    <w:rsid w:val="00B97F18"/>
    <w:rsid w:val="00BA1624"/>
    <w:rsid w:val="00BA21F0"/>
    <w:rsid w:val="00BD1397"/>
    <w:rsid w:val="00BD7190"/>
    <w:rsid w:val="00BF0C20"/>
    <w:rsid w:val="00BF6AEE"/>
    <w:rsid w:val="00C047ED"/>
    <w:rsid w:val="00C04F10"/>
    <w:rsid w:val="00C13626"/>
    <w:rsid w:val="00C15304"/>
    <w:rsid w:val="00C200F7"/>
    <w:rsid w:val="00C21134"/>
    <w:rsid w:val="00C35333"/>
    <w:rsid w:val="00C368C3"/>
    <w:rsid w:val="00C468E8"/>
    <w:rsid w:val="00C47A5F"/>
    <w:rsid w:val="00C70770"/>
    <w:rsid w:val="00C76BA3"/>
    <w:rsid w:val="00C82AD9"/>
    <w:rsid w:val="00CD643C"/>
    <w:rsid w:val="00D0578A"/>
    <w:rsid w:val="00D23A8B"/>
    <w:rsid w:val="00D3121C"/>
    <w:rsid w:val="00D322F0"/>
    <w:rsid w:val="00D406F3"/>
    <w:rsid w:val="00D52E4D"/>
    <w:rsid w:val="00D639BC"/>
    <w:rsid w:val="00D65C28"/>
    <w:rsid w:val="00D852AE"/>
    <w:rsid w:val="00DA53A6"/>
    <w:rsid w:val="00DC3687"/>
    <w:rsid w:val="00DD01C3"/>
    <w:rsid w:val="00DD0F5E"/>
    <w:rsid w:val="00E021B3"/>
    <w:rsid w:val="00E21DBF"/>
    <w:rsid w:val="00E23AB5"/>
    <w:rsid w:val="00E46F09"/>
    <w:rsid w:val="00E510A0"/>
    <w:rsid w:val="00EA2532"/>
    <w:rsid w:val="00EC153A"/>
    <w:rsid w:val="00EE1CE0"/>
    <w:rsid w:val="00EE3663"/>
    <w:rsid w:val="00EE71D4"/>
    <w:rsid w:val="00F14A75"/>
    <w:rsid w:val="00F33446"/>
    <w:rsid w:val="00F35668"/>
    <w:rsid w:val="00F45688"/>
    <w:rsid w:val="00F55B45"/>
    <w:rsid w:val="00F60F4C"/>
    <w:rsid w:val="00F64290"/>
    <w:rsid w:val="00F66603"/>
    <w:rsid w:val="00F8077C"/>
    <w:rsid w:val="00F959D0"/>
    <w:rsid w:val="00F95CE0"/>
    <w:rsid w:val="00FA3230"/>
    <w:rsid w:val="00FD4555"/>
    <w:rsid w:val="00FE33C3"/>
    <w:rsid w:val="01882EC5"/>
    <w:rsid w:val="019D5DA8"/>
    <w:rsid w:val="0207701F"/>
    <w:rsid w:val="02E97609"/>
    <w:rsid w:val="03845C1A"/>
    <w:rsid w:val="053D2BC9"/>
    <w:rsid w:val="05C95938"/>
    <w:rsid w:val="06461756"/>
    <w:rsid w:val="06933AC6"/>
    <w:rsid w:val="07F17513"/>
    <w:rsid w:val="0884680A"/>
    <w:rsid w:val="097B6879"/>
    <w:rsid w:val="0A164A7F"/>
    <w:rsid w:val="0A1A4846"/>
    <w:rsid w:val="0A9F4528"/>
    <w:rsid w:val="0C41787E"/>
    <w:rsid w:val="0D520617"/>
    <w:rsid w:val="0E0E642B"/>
    <w:rsid w:val="0EC9590B"/>
    <w:rsid w:val="129A4011"/>
    <w:rsid w:val="12FE3A23"/>
    <w:rsid w:val="139B6E67"/>
    <w:rsid w:val="153B23A4"/>
    <w:rsid w:val="15482339"/>
    <w:rsid w:val="154D13BE"/>
    <w:rsid w:val="15902CD2"/>
    <w:rsid w:val="16264FF2"/>
    <w:rsid w:val="16985F3D"/>
    <w:rsid w:val="16B32BA7"/>
    <w:rsid w:val="1C9F1DD3"/>
    <w:rsid w:val="1DBC3105"/>
    <w:rsid w:val="1DDA1164"/>
    <w:rsid w:val="1DFB0461"/>
    <w:rsid w:val="1FEF4701"/>
    <w:rsid w:val="20450F90"/>
    <w:rsid w:val="204C4B92"/>
    <w:rsid w:val="20E30128"/>
    <w:rsid w:val="24BF0F50"/>
    <w:rsid w:val="27512A60"/>
    <w:rsid w:val="29795DA5"/>
    <w:rsid w:val="29F13844"/>
    <w:rsid w:val="2AE53A7A"/>
    <w:rsid w:val="2B0A005C"/>
    <w:rsid w:val="2B4C1378"/>
    <w:rsid w:val="2C6C3E8B"/>
    <w:rsid w:val="2CA0520C"/>
    <w:rsid w:val="2D1845B0"/>
    <w:rsid w:val="2DD454B3"/>
    <w:rsid w:val="2E1819E5"/>
    <w:rsid w:val="2F085DC6"/>
    <w:rsid w:val="2FAF3B12"/>
    <w:rsid w:val="337A0A4C"/>
    <w:rsid w:val="33C11010"/>
    <w:rsid w:val="34413913"/>
    <w:rsid w:val="362D29DF"/>
    <w:rsid w:val="370D3387"/>
    <w:rsid w:val="3764495F"/>
    <w:rsid w:val="37DF7D84"/>
    <w:rsid w:val="381B348F"/>
    <w:rsid w:val="384B29B7"/>
    <w:rsid w:val="38C42C43"/>
    <w:rsid w:val="39EF5111"/>
    <w:rsid w:val="3A7507B5"/>
    <w:rsid w:val="3BA42D72"/>
    <w:rsid w:val="3E440200"/>
    <w:rsid w:val="3F4A1D04"/>
    <w:rsid w:val="3F7E76E3"/>
    <w:rsid w:val="415E49CF"/>
    <w:rsid w:val="427A5D81"/>
    <w:rsid w:val="434D186C"/>
    <w:rsid w:val="44C54C4D"/>
    <w:rsid w:val="47BA5463"/>
    <w:rsid w:val="47C80099"/>
    <w:rsid w:val="488E0DCA"/>
    <w:rsid w:val="494E7991"/>
    <w:rsid w:val="4AC31D2E"/>
    <w:rsid w:val="4B311E65"/>
    <w:rsid w:val="4BB954CD"/>
    <w:rsid w:val="4C1D7C8B"/>
    <w:rsid w:val="4EC6158D"/>
    <w:rsid w:val="4FD86DCF"/>
    <w:rsid w:val="50182051"/>
    <w:rsid w:val="506D2FDF"/>
    <w:rsid w:val="543F5BA9"/>
    <w:rsid w:val="575852B9"/>
    <w:rsid w:val="57E2477D"/>
    <w:rsid w:val="58F3105D"/>
    <w:rsid w:val="5D7730C0"/>
    <w:rsid w:val="5DD31C78"/>
    <w:rsid w:val="5E381DE4"/>
    <w:rsid w:val="5E652175"/>
    <w:rsid w:val="60121E89"/>
    <w:rsid w:val="60956D42"/>
    <w:rsid w:val="627C5AE4"/>
    <w:rsid w:val="63AE625C"/>
    <w:rsid w:val="63C2528D"/>
    <w:rsid w:val="6402116F"/>
    <w:rsid w:val="64D15E6F"/>
    <w:rsid w:val="662D3140"/>
    <w:rsid w:val="66A95C7E"/>
    <w:rsid w:val="69300D86"/>
    <w:rsid w:val="69A35C27"/>
    <w:rsid w:val="69F4748F"/>
    <w:rsid w:val="6A7F4019"/>
    <w:rsid w:val="6AA05804"/>
    <w:rsid w:val="6B456426"/>
    <w:rsid w:val="6DB45381"/>
    <w:rsid w:val="6EE61664"/>
    <w:rsid w:val="6FF96332"/>
    <w:rsid w:val="70064E0C"/>
    <w:rsid w:val="72200CCC"/>
    <w:rsid w:val="73A3113F"/>
    <w:rsid w:val="73E932A8"/>
    <w:rsid w:val="74822125"/>
    <w:rsid w:val="74977634"/>
    <w:rsid w:val="780D11E8"/>
    <w:rsid w:val="782A73AC"/>
    <w:rsid w:val="78C4713A"/>
    <w:rsid w:val="78FA00BD"/>
    <w:rsid w:val="797A0DF8"/>
    <w:rsid w:val="7ABA11CD"/>
    <w:rsid w:val="7AE5214B"/>
    <w:rsid w:val="7B7B2C0D"/>
    <w:rsid w:val="7CCF919F"/>
    <w:rsid w:val="7DD33C18"/>
    <w:rsid w:val="7FE6D0CF"/>
    <w:rsid w:val="BEF775C4"/>
    <w:rsid w:val="D8FBA304"/>
    <w:rsid w:val="DFEAC4F4"/>
    <w:rsid w:val="EBFFDF6B"/>
    <w:rsid w:val="F3EF0766"/>
    <w:rsid w:val="FA7E23A2"/>
    <w:rsid w:val="FFB185F8"/>
    <w:rsid w:val="FFED4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widowControl/>
      <w:spacing w:before="100" w:beforeAutospacing="1" w:after="100" w:afterAutospacing="1"/>
      <w:jc w:val="left"/>
      <w:outlineLvl w:val="0"/>
    </w:pPr>
    <w:rPr>
      <w:b/>
      <w:bCs/>
      <w:kern w:val="36"/>
      <w:sz w:val="48"/>
      <w:szCs w:val="4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3"/>
    <w:qFormat/>
    <w:uiPriority w:val="0"/>
    <w:pPr>
      <w:jc w:val="left"/>
    </w:pPr>
    <w:rPr>
      <w:szCs w:val="22"/>
    </w:rPr>
  </w:style>
  <w:style w:type="paragraph" w:styleId="4">
    <w:name w:val="Date"/>
    <w:basedOn w:val="1"/>
    <w:next w:val="1"/>
    <w:link w:val="19"/>
    <w:qFormat/>
    <w:uiPriority w:val="0"/>
    <w:pPr>
      <w:ind w:left="100" w:leftChars="2500"/>
    </w:pPr>
  </w:style>
  <w:style w:type="paragraph" w:styleId="5">
    <w:name w:val="Balloon Text"/>
    <w:basedOn w:val="1"/>
    <w:link w:val="18"/>
    <w:qFormat/>
    <w:uiPriority w:val="0"/>
    <w:rPr>
      <w:sz w:val="18"/>
      <w:szCs w:val="18"/>
    </w:rPr>
  </w:style>
  <w:style w:type="paragraph" w:styleId="6">
    <w:name w:val="footer"/>
    <w:basedOn w:val="1"/>
    <w:link w:val="21"/>
    <w:qFormat/>
    <w:uiPriority w:val="0"/>
    <w:pPr>
      <w:tabs>
        <w:tab w:val="center" w:pos="4153"/>
        <w:tab w:val="right" w:pos="8306"/>
      </w:tabs>
      <w:snapToGrid w:val="0"/>
      <w:jc w:val="left"/>
    </w:pPr>
    <w:rPr>
      <w:sz w:val="18"/>
      <w:szCs w:val="18"/>
    </w:rPr>
  </w:style>
  <w:style w:type="paragraph" w:styleId="7">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jc w:val="left"/>
    </w:pPr>
    <w:rPr>
      <w:kern w:val="0"/>
      <w:sz w:val="24"/>
      <w:szCs w:val="22"/>
    </w:rPr>
  </w:style>
  <w:style w:type="paragraph" w:styleId="9">
    <w:name w:val="annotation subject"/>
    <w:basedOn w:val="3"/>
    <w:next w:val="3"/>
    <w:link w:val="24"/>
    <w:qFormat/>
    <w:uiPriority w:val="0"/>
    <w:rPr>
      <w:b/>
      <w:bCs/>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0"/>
    <w:rPr>
      <w:b/>
    </w:rPr>
  </w:style>
  <w:style w:type="character" w:styleId="14">
    <w:name w:val="FollowedHyperlink"/>
    <w:qFormat/>
    <w:uiPriority w:val="0"/>
    <w:rPr>
      <w:color w:val="954F72"/>
      <w:u w:val="single"/>
    </w:rPr>
  </w:style>
  <w:style w:type="character" w:styleId="15">
    <w:name w:val="Emphasis"/>
    <w:qFormat/>
    <w:uiPriority w:val="20"/>
    <w:rPr>
      <w:i/>
      <w:iCs/>
    </w:rPr>
  </w:style>
  <w:style w:type="character" w:styleId="16">
    <w:name w:val="Hyperlink"/>
    <w:qFormat/>
    <w:uiPriority w:val="0"/>
    <w:rPr>
      <w:color w:val="0000FF"/>
      <w:u w:val="single"/>
    </w:rPr>
  </w:style>
  <w:style w:type="character" w:styleId="17">
    <w:name w:val="annotation reference"/>
    <w:basedOn w:val="12"/>
    <w:qFormat/>
    <w:uiPriority w:val="0"/>
    <w:rPr>
      <w:sz w:val="21"/>
      <w:szCs w:val="21"/>
    </w:rPr>
  </w:style>
  <w:style w:type="character" w:customStyle="1" w:styleId="18">
    <w:name w:val="批注框文本 字符"/>
    <w:link w:val="5"/>
    <w:qFormat/>
    <w:uiPriority w:val="0"/>
    <w:rPr>
      <w:kern w:val="2"/>
      <w:sz w:val="18"/>
      <w:szCs w:val="18"/>
    </w:rPr>
  </w:style>
  <w:style w:type="character" w:customStyle="1" w:styleId="19">
    <w:name w:val="日期 字符"/>
    <w:link w:val="4"/>
    <w:qFormat/>
    <w:uiPriority w:val="0"/>
    <w:rPr>
      <w:kern w:val="2"/>
      <w:sz w:val="21"/>
      <w:szCs w:val="24"/>
    </w:rPr>
  </w:style>
  <w:style w:type="character" w:customStyle="1" w:styleId="20">
    <w:name w:val="标题 1 字符"/>
    <w:link w:val="2"/>
    <w:qFormat/>
    <w:uiPriority w:val="9"/>
    <w:rPr>
      <w:rFonts w:ascii="Times New Roman" w:hAnsi="Times New Roman"/>
      <w:b/>
      <w:bCs/>
      <w:kern w:val="36"/>
      <w:sz w:val="48"/>
      <w:szCs w:val="48"/>
    </w:rPr>
  </w:style>
  <w:style w:type="character" w:customStyle="1" w:styleId="21">
    <w:name w:val="页脚 字符"/>
    <w:link w:val="6"/>
    <w:qFormat/>
    <w:uiPriority w:val="0"/>
    <w:rPr>
      <w:kern w:val="2"/>
      <w:sz w:val="18"/>
      <w:szCs w:val="18"/>
    </w:rPr>
  </w:style>
  <w:style w:type="character" w:customStyle="1" w:styleId="22">
    <w:name w:val="页眉 字符"/>
    <w:link w:val="7"/>
    <w:qFormat/>
    <w:uiPriority w:val="0"/>
    <w:rPr>
      <w:kern w:val="2"/>
      <w:sz w:val="18"/>
      <w:szCs w:val="18"/>
    </w:rPr>
  </w:style>
  <w:style w:type="character" w:customStyle="1" w:styleId="23">
    <w:name w:val="批注文字 字符"/>
    <w:link w:val="3"/>
    <w:qFormat/>
    <w:uiPriority w:val="0"/>
    <w:rPr>
      <w:kern w:val="2"/>
      <w:sz w:val="21"/>
      <w:szCs w:val="22"/>
    </w:rPr>
  </w:style>
  <w:style w:type="character" w:customStyle="1" w:styleId="24">
    <w:name w:val="批注主题 字符"/>
    <w:basedOn w:val="23"/>
    <w:link w:val="9"/>
    <w:qFormat/>
    <w:uiPriority w:val="0"/>
    <w:rPr>
      <w:b/>
      <w:bCs/>
      <w:kern w:val="2"/>
      <w:sz w:val="21"/>
      <w:szCs w:val="24"/>
    </w:rPr>
  </w:style>
  <w:style w:type="paragraph" w:customStyle="1" w:styleId="25">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6">
    <w:name w:val="font31"/>
    <w:basedOn w:val="12"/>
    <w:qFormat/>
    <w:uiPriority w:val="0"/>
    <w:rPr>
      <w:rFonts w:hint="default" w:ascii="Times New Roman" w:hAnsi="Times New Roman" w:cs="Times New Roman"/>
      <w:color w:val="000000"/>
      <w:sz w:val="20"/>
      <w:szCs w:val="20"/>
      <w:u w:val="none"/>
    </w:rPr>
  </w:style>
  <w:style w:type="character" w:customStyle="1" w:styleId="27">
    <w:name w:val="font61"/>
    <w:basedOn w:val="12"/>
    <w:qFormat/>
    <w:uiPriority w:val="0"/>
    <w:rPr>
      <w:rFonts w:hint="eastAsia" w:ascii="宋体" w:hAnsi="宋体" w:eastAsia="宋体" w:cs="宋体"/>
      <w:color w:val="000000"/>
      <w:sz w:val="20"/>
      <w:szCs w:val="20"/>
      <w:u w:val="none"/>
    </w:rPr>
  </w:style>
  <w:style w:type="character" w:customStyle="1" w:styleId="28">
    <w:name w:val="font51"/>
    <w:basedOn w:val="12"/>
    <w:qFormat/>
    <w:uiPriority w:val="0"/>
    <w:rPr>
      <w:rFonts w:hint="eastAsia" w:ascii="宋体" w:hAnsi="宋体" w:eastAsia="宋体" w:cs="宋体"/>
      <w:color w:val="000000"/>
      <w:sz w:val="20"/>
      <w:szCs w:val="20"/>
      <w:u w:val="none"/>
    </w:rPr>
  </w:style>
  <w:style w:type="character" w:customStyle="1" w:styleId="29">
    <w:name w:val="font71"/>
    <w:basedOn w:val="12"/>
    <w:qFormat/>
    <w:uiPriority w:val="0"/>
    <w:rPr>
      <w:rFonts w:hint="default" w:ascii="Times New Roman" w:hAnsi="Times New Roman" w:cs="Times New Roman"/>
      <w:color w:val="000000"/>
      <w:sz w:val="20"/>
      <w:szCs w:val="20"/>
      <w:u w:val="none"/>
    </w:rPr>
  </w:style>
  <w:style w:type="character" w:customStyle="1" w:styleId="30">
    <w:name w:val="font21"/>
    <w:basedOn w:val="12"/>
    <w:qFormat/>
    <w:uiPriority w:val="0"/>
    <w:rPr>
      <w:rFonts w:hint="eastAsia" w:ascii="宋体" w:hAnsi="宋体" w:eastAsia="宋体" w:cs="宋体"/>
      <w:color w:val="000000"/>
      <w:sz w:val="20"/>
      <w:szCs w:val="20"/>
      <w:u w:val="none"/>
    </w:rPr>
  </w:style>
  <w:style w:type="character" w:customStyle="1" w:styleId="31">
    <w:name w:val="font41"/>
    <w:basedOn w:val="12"/>
    <w:qFormat/>
    <w:uiPriority w:val="0"/>
    <w:rPr>
      <w:rFonts w:hint="eastAsia" w:ascii="宋体" w:hAnsi="宋体" w:eastAsia="宋体" w:cs="宋体"/>
      <w:color w:val="FF0000"/>
      <w:sz w:val="20"/>
      <w:szCs w:val="20"/>
      <w:u w:val="none"/>
    </w:rPr>
  </w:style>
  <w:style w:type="paragraph" w:customStyle="1" w:styleId="32">
    <w:name w:val="Revision"/>
    <w:hidden/>
    <w:unhideWhenUsed/>
    <w:qFormat/>
    <w:uiPriority w:val="99"/>
    <w:rPr>
      <w:rFonts w:ascii="Times New Roman" w:hAnsi="Times New Roman" w:eastAsia="宋体" w:cs="Times New Roman"/>
      <w:kern w:val="2"/>
      <w:sz w:val="21"/>
      <w:szCs w:val="24"/>
      <w:lang w:val="en-US" w:eastAsia="zh-CN" w:bidi="ar-SA"/>
    </w:rPr>
  </w:style>
  <w:style w:type="paragraph" w:styleId="3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4727</Words>
  <Characters>4930</Characters>
  <Lines>38</Lines>
  <Paragraphs>10</Paragraphs>
  <TotalTime>0</TotalTime>
  <ScaleCrop>false</ScaleCrop>
  <LinksUpToDate>false</LinksUpToDate>
  <CharactersWithSpaces>4966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2020-06-18T10:20:00Z</dcterms:created>
  <dc:creator>园艺学院</dc:creator>
  <cp:lastModifiedBy>Story</cp:lastModifiedBy>
  <cp:lastPrinted>2025-06-23T06:18:00Z</cp:lastPrinted>
  <dcterms:modified xsi:type="dcterms:W3CDTF">2025-09-04T01:29:13Z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488F46BC0F6946AF902B030268143AAB_13</vt:lpwstr>
  </property>
  <property fmtid="{D5CDD505-2E9C-101B-9397-08002B2CF9AE}" pid="4" name="KSOTemplateDocerSaveRecord">
    <vt:lpwstr>eyJoZGlkIjoiNTFlNDIxNGE0ZDUyYjExYThkZjlmN2VmODkyNzNmNzUiLCJ1c2VySWQiOiIxNDc2NjgzMzA4In0=</vt:lpwstr>
  </property>
</Properties>
</file>